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0B2" w:rsidRDefault="00A517EA" w:rsidP="00090B6C">
      <w:pPr>
        <w:widowControl w:val="0"/>
        <w:spacing w:before="100" w:beforeAutospacing="1" w:after="100" w:afterAutospacing="1" w:line="360" w:lineRule="auto"/>
        <w:ind w:right="-164"/>
        <w:jc w:val="both"/>
        <w:rPr>
          <w:rFonts w:ascii="Palatino Linotype" w:hAnsi="Palatino Linotype" w:cs="Arial"/>
          <w:b/>
          <w:bCs/>
        </w:rPr>
      </w:pPr>
      <w:r w:rsidRPr="00871B03">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BF70B2" w:rsidRPr="00871B03">
        <w:rPr>
          <w:rFonts w:ascii="Palatino Linotype" w:hAnsi="Palatino Linotype" w:cs="Arial"/>
          <w:b/>
        </w:rPr>
        <w:t>SEGUNDA</w:t>
      </w:r>
      <w:r w:rsidRPr="00871B03">
        <w:rPr>
          <w:rFonts w:ascii="Palatino Linotype" w:hAnsi="Palatino Linotype" w:cs="Arial"/>
          <w:b/>
        </w:rPr>
        <w:t xml:space="preserve"> SESIÓN ORDINARIA DE </w:t>
      </w:r>
      <w:r w:rsidR="00BF70B2" w:rsidRPr="00871B03">
        <w:rPr>
          <w:rFonts w:ascii="Palatino Linotype" w:hAnsi="Palatino Linotype" w:cs="Arial"/>
          <w:b/>
        </w:rPr>
        <w:t xml:space="preserve">DIECISÉIS DE ENERO DE DOS MIL DIECINUEVE, EN EL RECURSO DE REVISIÓN </w:t>
      </w:r>
      <w:r w:rsidR="00BF70B2" w:rsidRPr="00871B03">
        <w:rPr>
          <w:rFonts w:ascii="Palatino Linotype" w:hAnsi="Palatino Linotype" w:cs="Arial"/>
          <w:b/>
          <w:bCs/>
        </w:rPr>
        <w:t>04</w:t>
      </w:r>
      <w:r w:rsidR="00670931">
        <w:rPr>
          <w:rFonts w:ascii="Palatino Linotype" w:hAnsi="Palatino Linotype" w:cs="Arial"/>
          <w:b/>
          <w:bCs/>
        </w:rPr>
        <w:t>084</w:t>
      </w:r>
      <w:r w:rsidR="00BF70B2" w:rsidRPr="00871B03">
        <w:rPr>
          <w:rFonts w:ascii="Palatino Linotype" w:hAnsi="Palatino Linotype" w:cs="Arial"/>
          <w:b/>
          <w:bCs/>
        </w:rPr>
        <w:t>/INFOEM/IP/RR/2018.</w:t>
      </w:r>
    </w:p>
    <w:p w:rsidR="00F579EE" w:rsidRDefault="00A517EA" w:rsidP="00090B6C">
      <w:pPr>
        <w:widowControl w:val="0"/>
        <w:spacing w:before="100" w:beforeAutospacing="1" w:after="100" w:afterAutospacing="1" w:line="360" w:lineRule="auto"/>
        <w:ind w:right="-164"/>
        <w:jc w:val="both"/>
        <w:rPr>
          <w:rFonts w:ascii="Palatino Linotype" w:hAnsi="Palatino Linotype" w:cs="Arial"/>
        </w:rPr>
      </w:pPr>
      <w:r w:rsidRPr="00871B03">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00740E0B" w:rsidRPr="00871B03">
        <w:rPr>
          <w:rFonts w:ascii="Palatino Linotype" w:hAnsi="Palatino Linotype" w:cs="Arial"/>
          <w:b/>
          <w:lang w:val="es-ES_tradnl"/>
        </w:rPr>
        <w:t xml:space="preserve"> </w:t>
      </w:r>
      <w:r w:rsidR="00740E0B" w:rsidRPr="00871B03">
        <w:rPr>
          <w:rFonts w:ascii="Palatino Linotype" w:hAnsi="Palatino Linotype" w:cs="Arial"/>
          <w:lang w:val="es-ES_tradnl"/>
        </w:rPr>
        <w:t xml:space="preserve">Comisionada </w:t>
      </w:r>
      <w:r w:rsidRPr="00871B03">
        <w:rPr>
          <w:rFonts w:ascii="Palatino Linotype" w:hAnsi="Palatino Linotype" w:cs="Arial"/>
          <w:b/>
        </w:rPr>
        <w:t>EVA ABAID YAPUR</w:t>
      </w:r>
      <w:r w:rsidR="00BB74CD" w:rsidRPr="00871B03">
        <w:rPr>
          <w:rFonts w:ascii="Palatino Linotype" w:hAnsi="Palatino Linotype" w:cs="Arial"/>
          <w:b/>
        </w:rPr>
        <w:t xml:space="preserve"> </w:t>
      </w:r>
      <w:r w:rsidRPr="00871B03">
        <w:rPr>
          <w:rFonts w:ascii="Palatino Linotype" w:hAnsi="Palatino Linotype" w:cs="Arial"/>
        </w:rPr>
        <w:t xml:space="preserve">emite </w:t>
      </w:r>
      <w:r w:rsidRPr="00871B03">
        <w:rPr>
          <w:rFonts w:ascii="Palatino Linotype" w:hAnsi="Palatino Linotype" w:cs="Arial"/>
          <w:b/>
        </w:rPr>
        <w:t>VOTO PARTICULAR</w:t>
      </w:r>
      <w:r w:rsidR="00871B03">
        <w:rPr>
          <w:rFonts w:ascii="Palatino Linotype" w:hAnsi="Palatino Linotype" w:cs="Arial"/>
          <w:b/>
        </w:rPr>
        <w:t>,</w:t>
      </w:r>
      <w:r w:rsidRPr="00871B03">
        <w:rPr>
          <w:rFonts w:ascii="Palatino Linotype" w:hAnsi="Palatino Linotype" w:cs="Arial"/>
          <w:b/>
        </w:rPr>
        <w:t xml:space="preserve"> </w:t>
      </w:r>
      <w:r w:rsidRPr="00871B03">
        <w:rPr>
          <w:rFonts w:ascii="Palatino Linotype" w:hAnsi="Palatino Linotype" w:cs="Arial"/>
        </w:rPr>
        <w:t xml:space="preserve">respecto de la resolución dictada en </w:t>
      </w:r>
      <w:r w:rsidR="00740E0B" w:rsidRPr="00871B03">
        <w:rPr>
          <w:rFonts w:ascii="Palatino Linotype" w:hAnsi="Palatino Linotype" w:cs="Arial"/>
        </w:rPr>
        <w:t xml:space="preserve">el </w:t>
      </w:r>
      <w:r w:rsidR="00871B03" w:rsidRPr="00871B03">
        <w:rPr>
          <w:rFonts w:ascii="Palatino Linotype" w:hAnsi="Palatino Linotype" w:cs="Arial"/>
        </w:rPr>
        <w:t xml:space="preserve">Recurso </w:t>
      </w:r>
      <w:r w:rsidRPr="00871B03">
        <w:rPr>
          <w:rFonts w:ascii="Palatino Linotype" w:hAnsi="Palatino Linotype" w:cs="Arial"/>
        </w:rPr>
        <w:t xml:space="preserve">de </w:t>
      </w:r>
      <w:r w:rsidR="00871B03" w:rsidRPr="00871B03">
        <w:rPr>
          <w:rFonts w:ascii="Palatino Linotype" w:hAnsi="Palatino Linotype" w:cs="Arial"/>
        </w:rPr>
        <w:t xml:space="preserve">Revisión </w:t>
      </w:r>
      <w:r w:rsidR="00670931" w:rsidRPr="00670931">
        <w:rPr>
          <w:rFonts w:ascii="Palatino Linotype" w:hAnsi="Palatino Linotype" w:cs="Arial"/>
          <w:b/>
          <w:bCs/>
        </w:rPr>
        <w:t>04084/INFOEM/IP/RR/2018</w:t>
      </w:r>
      <w:r w:rsidRPr="00871B03">
        <w:rPr>
          <w:rFonts w:ascii="Palatino Linotype" w:eastAsia="Calibri" w:hAnsi="Palatino Linotype" w:cs="Arial"/>
          <w:b/>
        </w:rPr>
        <w:t>,</w:t>
      </w:r>
      <w:r w:rsidRPr="00871B03">
        <w:rPr>
          <w:rFonts w:ascii="Palatino Linotype" w:hAnsi="Palatino Linotype" w:cs="Arial"/>
          <w:b/>
          <w:bCs/>
        </w:rPr>
        <w:t xml:space="preserve"> </w:t>
      </w:r>
      <w:r w:rsidRPr="00871B03">
        <w:rPr>
          <w:rFonts w:ascii="Palatino Linotype" w:hAnsi="Palatino Linotype" w:cs="Arial"/>
        </w:rPr>
        <w:t xml:space="preserve">pronunciada por el Pleno de este Instituto ante el proyecto presentado </w:t>
      </w:r>
      <w:r w:rsidR="00E46292" w:rsidRPr="00871B03">
        <w:rPr>
          <w:rFonts w:ascii="Palatino Linotype" w:hAnsi="Palatino Linotype" w:cs="Arial"/>
        </w:rPr>
        <w:t xml:space="preserve">por </w:t>
      </w:r>
      <w:r w:rsidR="00823404" w:rsidRPr="00871B03">
        <w:rPr>
          <w:rFonts w:ascii="Palatino Linotype" w:hAnsi="Palatino Linotype" w:cs="Arial"/>
        </w:rPr>
        <w:t>el Comisionado</w:t>
      </w:r>
      <w:r w:rsidRPr="00871B03">
        <w:rPr>
          <w:rFonts w:ascii="Palatino Linotype" w:hAnsi="Palatino Linotype" w:cs="Arial"/>
        </w:rPr>
        <w:t xml:space="preserve"> </w:t>
      </w:r>
      <w:r w:rsidR="00670931">
        <w:rPr>
          <w:rFonts w:ascii="Palatino Linotype" w:hAnsi="Palatino Linotype" w:cs="Arial"/>
          <w:b/>
        </w:rPr>
        <w:t>JAVIER MARTÍNEZ CRUZ</w:t>
      </w:r>
      <w:r w:rsidRPr="00871B03">
        <w:rPr>
          <w:rFonts w:ascii="Palatino Linotype" w:hAnsi="Palatino Linotype" w:cs="Arial"/>
        </w:rPr>
        <w:t xml:space="preserve">, </w:t>
      </w:r>
      <w:r w:rsidR="003C5476">
        <w:rPr>
          <w:rFonts w:ascii="Palatino Linotype" w:hAnsi="Palatino Linotype" w:cs="Arial"/>
        </w:rPr>
        <w:t>que es del tenor siguiente.</w:t>
      </w:r>
    </w:p>
    <w:p w:rsidR="003B0314" w:rsidRDefault="00A517EA" w:rsidP="00090B6C">
      <w:pPr>
        <w:spacing w:before="100" w:beforeAutospacing="1" w:after="100" w:afterAutospacing="1" w:line="360" w:lineRule="auto"/>
        <w:jc w:val="both"/>
        <w:rPr>
          <w:rFonts w:ascii="Palatino Linotype" w:hAnsi="Palatino Linotype" w:cs="Arial"/>
        </w:rPr>
      </w:pPr>
      <w:r w:rsidRPr="00871B03">
        <w:rPr>
          <w:rFonts w:ascii="Palatino Linotype" w:hAnsi="Palatino Linotype" w:cs="Arial"/>
        </w:rPr>
        <w:t xml:space="preserve">Es de destacar, que </w:t>
      </w:r>
      <w:r w:rsidR="003C5476">
        <w:rPr>
          <w:rFonts w:ascii="Palatino Linotype" w:hAnsi="Palatino Linotype" w:cs="Arial"/>
        </w:rPr>
        <w:t>se comparte</w:t>
      </w:r>
      <w:r w:rsidRPr="00871B03">
        <w:rPr>
          <w:rFonts w:ascii="Palatino Linotype" w:hAnsi="Palatino Linotype" w:cs="Arial"/>
        </w:rPr>
        <w:t xml:space="preserve"> esencialmente el estudi</w:t>
      </w:r>
      <w:r w:rsidR="00487B66" w:rsidRPr="00871B03">
        <w:rPr>
          <w:rFonts w:ascii="Palatino Linotype" w:hAnsi="Palatino Linotype" w:cs="Arial"/>
        </w:rPr>
        <w:t>o y sentido de la resolución de</w:t>
      </w:r>
      <w:r w:rsidR="00BF70B2" w:rsidRPr="00871B03">
        <w:rPr>
          <w:rFonts w:ascii="Palatino Linotype" w:hAnsi="Palatino Linotype" w:cs="Arial"/>
        </w:rPr>
        <w:t>l Recurso de Revisión</w:t>
      </w:r>
      <w:r w:rsidRPr="00871B03">
        <w:rPr>
          <w:rFonts w:ascii="Palatino Linotype" w:hAnsi="Palatino Linotype" w:cs="Arial"/>
        </w:rPr>
        <w:t>; empero,</w:t>
      </w:r>
      <w:r w:rsidR="00BF70B2" w:rsidRPr="00871B03">
        <w:rPr>
          <w:rFonts w:ascii="Palatino Linotype" w:hAnsi="Palatino Linotype" w:cs="Arial"/>
        </w:rPr>
        <w:t xml:space="preserve"> estim</w:t>
      </w:r>
      <w:r w:rsidR="00670931">
        <w:rPr>
          <w:rFonts w:ascii="Palatino Linotype" w:hAnsi="Palatino Linotype" w:cs="Arial"/>
        </w:rPr>
        <w:t>o</w:t>
      </w:r>
      <w:r w:rsidRPr="00871B03">
        <w:rPr>
          <w:rFonts w:ascii="Palatino Linotype" w:hAnsi="Palatino Linotype" w:cs="Arial"/>
        </w:rPr>
        <w:t xml:space="preserve"> necesario precisar algunas consid</w:t>
      </w:r>
      <w:r w:rsidR="00F579EE" w:rsidRPr="00871B03">
        <w:rPr>
          <w:rFonts w:ascii="Palatino Linotype" w:hAnsi="Palatino Linotype" w:cs="Arial"/>
        </w:rPr>
        <w:t>eraciones de hecho y de derecho.</w:t>
      </w:r>
    </w:p>
    <w:p w:rsidR="00C90A7B" w:rsidRPr="00B84722" w:rsidRDefault="00C90A7B" w:rsidP="00090B6C">
      <w:pPr>
        <w:spacing w:before="100" w:beforeAutospacing="1" w:after="100" w:afterAutospacing="1" w:line="360" w:lineRule="auto"/>
        <w:jc w:val="both"/>
        <w:rPr>
          <w:rFonts w:ascii="Palatino Linotype" w:hAnsi="Palatino Linotype"/>
        </w:rPr>
      </w:pPr>
      <w:r w:rsidRPr="00B84722">
        <w:rPr>
          <w:rFonts w:ascii="Palatino Linotype" w:hAnsi="Palatino Linotype"/>
        </w:rPr>
        <w:t>Tal y como se aprecia en los resultandos de la resolución materia del presente Voto Particular, el entonces solicitante requirió de</w:t>
      </w:r>
      <w:r w:rsidR="003C5476">
        <w:rPr>
          <w:rFonts w:ascii="Palatino Linotype" w:hAnsi="Palatino Linotype"/>
        </w:rPr>
        <w:t>l</w:t>
      </w:r>
      <w:r w:rsidRPr="00B84722">
        <w:rPr>
          <w:rFonts w:ascii="Palatino Linotype" w:hAnsi="Palatino Linotype"/>
          <w:b/>
        </w:rPr>
        <w:t xml:space="preserve"> SUJETO OBLIGADO</w:t>
      </w:r>
      <w:r w:rsidRPr="00B84722">
        <w:rPr>
          <w:rFonts w:ascii="Palatino Linotype" w:hAnsi="Palatino Linotype"/>
        </w:rPr>
        <w:t xml:space="preserve"> las donaciones en dinero y en especie</w:t>
      </w:r>
      <w:r>
        <w:rPr>
          <w:rFonts w:ascii="Palatino Linotype" w:hAnsi="Palatino Linotype"/>
        </w:rPr>
        <w:t>,</w:t>
      </w:r>
      <w:r w:rsidRPr="00B84722">
        <w:rPr>
          <w:rFonts w:ascii="Palatino Linotype" w:hAnsi="Palatino Linotype"/>
        </w:rPr>
        <w:t xml:space="preserve"> realizadas </w:t>
      </w:r>
      <w:r>
        <w:rPr>
          <w:rFonts w:ascii="Palatino Linotype" w:hAnsi="Palatino Linotype"/>
        </w:rPr>
        <w:t>por el periodo que comprende</w:t>
      </w:r>
      <w:r w:rsidRPr="00B84722">
        <w:rPr>
          <w:rFonts w:ascii="Palatino Linotype" w:hAnsi="Palatino Linotype"/>
        </w:rPr>
        <w:t xml:space="preserve"> de</w:t>
      </w:r>
      <w:r>
        <w:rPr>
          <w:rFonts w:ascii="Palatino Linotype" w:hAnsi="Palatino Linotype"/>
        </w:rPr>
        <w:t>l año</w:t>
      </w:r>
      <w:r w:rsidRPr="00B84722">
        <w:rPr>
          <w:rFonts w:ascii="Palatino Linotype" w:hAnsi="Palatino Linotype"/>
        </w:rPr>
        <w:t xml:space="preserve"> 2016 a</w:t>
      </w:r>
      <w:r>
        <w:rPr>
          <w:rFonts w:ascii="Palatino Linotype" w:hAnsi="Palatino Linotype"/>
        </w:rPr>
        <w:t>l mes de</w:t>
      </w:r>
      <w:r w:rsidRPr="00B84722">
        <w:rPr>
          <w:rFonts w:ascii="Palatino Linotype" w:hAnsi="Palatino Linotype"/>
        </w:rPr>
        <w:t xml:space="preserve"> septiembre de 2018; así como, </w:t>
      </w:r>
      <w:r>
        <w:rPr>
          <w:rFonts w:ascii="Palatino Linotype" w:hAnsi="Palatino Linotype"/>
        </w:rPr>
        <w:t>el</w:t>
      </w:r>
      <w:r w:rsidRPr="00B84722">
        <w:rPr>
          <w:rFonts w:ascii="Palatino Linotype" w:hAnsi="Palatino Linotype"/>
        </w:rPr>
        <w:t xml:space="preserve"> soporte documental que respalde cada </w:t>
      </w:r>
      <w:r>
        <w:rPr>
          <w:rFonts w:ascii="Palatino Linotype" w:hAnsi="Palatino Linotype"/>
        </w:rPr>
        <w:t>una de ellas</w:t>
      </w:r>
      <w:r w:rsidRPr="00B84722">
        <w:rPr>
          <w:rFonts w:ascii="Palatino Linotype" w:hAnsi="Palatino Linotype"/>
        </w:rPr>
        <w:t>.</w:t>
      </w:r>
    </w:p>
    <w:p w:rsidR="00C90A7B" w:rsidRDefault="00C90A7B" w:rsidP="00090B6C">
      <w:pPr>
        <w:spacing w:before="100" w:beforeAutospacing="1" w:after="100" w:afterAutospacing="1" w:line="360" w:lineRule="auto"/>
        <w:jc w:val="both"/>
        <w:rPr>
          <w:rFonts w:ascii="Palatino Linotype" w:hAnsi="Palatino Linotype"/>
        </w:rPr>
      </w:pPr>
      <w:r w:rsidRPr="00A763D3">
        <w:rPr>
          <w:rFonts w:ascii="Palatino Linotype" w:hAnsi="Palatino Linotype"/>
          <w:b/>
        </w:rPr>
        <w:lastRenderedPageBreak/>
        <w:t>EL SUJETO OBLIGADO</w:t>
      </w:r>
      <w:r>
        <w:rPr>
          <w:rFonts w:ascii="Palatino Linotype" w:hAnsi="Palatino Linotype"/>
        </w:rPr>
        <w:t xml:space="preserve"> no dio respuesta a la solicitud del particular, motivo por el cual </w:t>
      </w:r>
      <w:r w:rsidRPr="00A763D3">
        <w:rPr>
          <w:rFonts w:ascii="Palatino Linotype" w:hAnsi="Palatino Linotype"/>
          <w:b/>
        </w:rPr>
        <w:t>EL RECURRENTE</w:t>
      </w:r>
      <w:r>
        <w:rPr>
          <w:rFonts w:ascii="Palatino Linotype" w:hAnsi="Palatino Linotype"/>
        </w:rPr>
        <w:t xml:space="preserve"> interpuso el medio de impugnación que da origen a la resolución de análisis.</w:t>
      </w:r>
    </w:p>
    <w:p w:rsidR="00C90A7B" w:rsidRPr="00347FDA" w:rsidRDefault="00C90A7B" w:rsidP="00090B6C">
      <w:pPr>
        <w:spacing w:before="100" w:beforeAutospacing="1" w:after="100" w:afterAutospacing="1" w:line="360" w:lineRule="auto"/>
        <w:jc w:val="both"/>
        <w:rPr>
          <w:rFonts w:ascii="Palatino Linotype" w:hAnsi="Palatino Linotype" w:cs="Arial"/>
        </w:rPr>
      </w:pPr>
      <w:r w:rsidRPr="00347FDA">
        <w:rPr>
          <w:rFonts w:ascii="Palatino Linotype" w:hAnsi="Palatino Linotype"/>
        </w:rPr>
        <w:t xml:space="preserve">Posteriormente, </w:t>
      </w:r>
      <w:r w:rsidRPr="00347FDA">
        <w:rPr>
          <w:rFonts w:ascii="Palatino Linotype" w:hAnsi="Palatino Linotype"/>
          <w:b/>
        </w:rPr>
        <w:t>EL SUJETO OBLIGADO</w:t>
      </w:r>
      <w:r w:rsidRPr="00347FDA">
        <w:rPr>
          <w:rFonts w:ascii="Palatino Linotype" w:hAnsi="Palatino Linotype"/>
        </w:rPr>
        <w:t xml:space="preserve"> rindió su Informe Justificado, mediante el cual remitió diversas</w:t>
      </w:r>
      <w:r w:rsidRPr="00347FDA">
        <w:rPr>
          <w:rFonts w:ascii="Palatino Linotype" w:hAnsi="Palatino Linotype" w:cs="Arial"/>
        </w:rPr>
        <w:t xml:space="preserve"> pólizas de egresos con su respectivo soporte documental; así como un listado que incluye los siguientes conceptos: fecha, documento, importe y beneficiado (servicio donado) y el nombre de 60 personas a las que se entregaron dona</w:t>
      </w:r>
      <w:r w:rsidR="003C5476">
        <w:rPr>
          <w:rFonts w:ascii="Palatino Linotype" w:hAnsi="Palatino Linotype" w:cs="Arial"/>
        </w:rPr>
        <w:t xml:space="preserve">ciones en los años 2016, 2017 y hasta el mes de septiembre de </w:t>
      </w:r>
      <w:r w:rsidRPr="00347FDA">
        <w:rPr>
          <w:rFonts w:ascii="Palatino Linotype" w:hAnsi="Palatino Linotype" w:cs="Arial"/>
        </w:rPr>
        <w:t xml:space="preserve">2018. Sin embargo, la Ponencia Resolutora estimó que </w:t>
      </w:r>
      <w:r w:rsidRPr="00347FDA">
        <w:rPr>
          <w:rFonts w:ascii="Palatino Linotype" w:hAnsi="Palatino Linotype" w:cs="Arial"/>
          <w:b/>
        </w:rPr>
        <w:t>EL SUJETO OBLIGADO</w:t>
      </w:r>
      <w:r w:rsidRPr="00347FDA">
        <w:rPr>
          <w:rFonts w:ascii="Palatino Linotype" w:hAnsi="Palatino Linotype" w:cs="Arial"/>
        </w:rPr>
        <w:t xml:space="preserve"> omitió tutelar datos confidenciales contenidos en las documentales, por considerar que pertenecen a sectores vulnerables de la sociedad.</w:t>
      </w:r>
    </w:p>
    <w:p w:rsidR="00C90A7B" w:rsidRPr="00862E63" w:rsidRDefault="00C90A7B" w:rsidP="00090B6C">
      <w:pPr>
        <w:spacing w:before="100" w:beforeAutospacing="1" w:after="100" w:afterAutospacing="1" w:line="360" w:lineRule="auto"/>
        <w:jc w:val="both"/>
        <w:rPr>
          <w:rFonts w:ascii="Palatino Linotype" w:eastAsiaTheme="minorEastAsia" w:hAnsi="Palatino Linotype" w:cs="Arial"/>
        </w:rPr>
      </w:pPr>
      <w:r w:rsidRPr="00862E63">
        <w:rPr>
          <w:rFonts w:ascii="Palatino Linotype" w:hAnsi="Palatino Linotype"/>
        </w:rPr>
        <w:t>En esa virtud, en la Resolución se estableció que la información descrita en el párrafo anterior no se hiciera del</w:t>
      </w:r>
      <w:r w:rsidRPr="00862E63">
        <w:rPr>
          <w:rFonts w:ascii="Palatino Linotype" w:eastAsiaTheme="minorEastAsia" w:hAnsi="Palatino Linotype" w:cs="Arial"/>
        </w:rPr>
        <w:t xml:space="preserve"> conocimiento del particular; específicamente, por contener el nombre de las personas que fueron beneficiadas y/o apoyadas </w:t>
      </w:r>
      <w:r w:rsidRPr="00862E63">
        <w:rPr>
          <w:rFonts w:ascii="Palatino Linotype" w:eastAsiaTheme="minorEastAsia" w:hAnsi="Palatino Linotype" w:cs="Arial"/>
          <w:b/>
        </w:rPr>
        <w:t>con despensas y gastos funerarios</w:t>
      </w:r>
      <w:r w:rsidRPr="00862E63">
        <w:rPr>
          <w:rFonts w:ascii="Palatino Linotype" w:eastAsiaTheme="minorEastAsia" w:hAnsi="Palatino Linotype" w:cs="Arial"/>
        </w:rPr>
        <w:t>, al considerar que pudieran ser expuestos a situaciones de discriminación.</w:t>
      </w:r>
    </w:p>
    <w:p w:rsidR="00C90A7B" w:rsidRPr="00862E63" w:rsidRDefault="00C90A7B" w:rsidP="00090B6C">
      <w:pPr>
        <w:spacing w:before="100" w:beforeAutospacing="1" w:after="100" w:afterAutospacing="1" w:line="360" w:lineRule="auto"/>
        <w:jc w:val="both"/>
        <w:rPr>
          <w:rFonts w:ascii="Palatino Linotype" w:hAnsi="Palatino Linotype"/>
        </w:rPr>
      </w:pPr>
      <w:r w:rsidRPr="00862E63">
        <w:rPr>
          <w:rFonts w:ascii="Palatino Linotype" w:eastAsiaTheme="minorEastAsia" w:hAnsi="Palatino Linotype" w:cs="Arial"/>
        </w:rPr>
        <w:t xml:space="preserve">Lo anterior, en atención a que se consideró que </w:t>
      </w:r>
      <w:r w:rsidRPr="00862E63">
        <w:rPr>
          <w:rFonts w:ascii="Palatino Linotype" w:eastAsiaTheme="minorEastAsia" w:hAnsi="Palatino Linotype" w:cs="Arial"/>
          <w:b/>
        </w:rPr>
        <w:t>EL SUJETO OBLIGADO</w:t>
      </w:r>
      <w:r w:rsidRPr="00862E63">
        <w:rPr>
          <w:rFonts w:ascii="Palatino Linotype" w:eastAsiaTheme="minorEastAsia" w:hAnsi="Palatino Linotype" w:cs="Arial"/>
        </w:rPr>
        <w:t xml:space="preserve"> tiene como objetivo el asegurar la atención permanente a la población marginada, </w:t>
      </w:r>
      <w:r w:rsidRPr="00862E63">
        <w:rPr>
          <w:rFonts w:ascii="Palatino Linotype" w:hAnsi="Palatino Linotype"/>
        </w:rPr>
        <w:t xml:space="preserve">brindando servicios integrales de asistencia social y beneficio colectivo, promoviendo los niveles mínimos de bienestar y salud, atendiendo la problemática que se presenta en las familias, proporcionándoles para tales efectos la atención especializada en servicios jurídicos en materia familiar, médicos, de educación inicial, de prevención, de servicios </w:t>
      </w:r>
      <w:r w:rsidRPr="00862E63">
        <w:rPr>
          <w:rFonts w:ascii="Palatino Linotype" w:hAnsi="Palatino Linotype"/>
        </w:rPr>
        <w:lastRenderedPageBreak/>
        <w:t xml:space="preserve">para el desarrollo comunitario, de atención a la nutrición a grupos vulnerables, de personas con discapacidad y de adultos mayores; a fin de contribuir en el mejoramiento de la calidad de vida en las familias, enmarcadas dentro de los programas básicos. </w:t>
      </w:r>
    </w:p>
    <w:p w:rsidR="00C90A7B" w:rsidRPr="00862E63" w:rsidRDefault="00C90A7B" w:rsidP="00090B6C">
      <w:pPr>
        <w:spacing w:before="100" w:beforeAutospacing="1" w:after="100" w:afterAutospacing="1" w:line="360" w:lineRule="auto"/>
        <w:jc w:val="both"/>
        <w:rPr>
          <w:rFonts w:ascii="Palatino Linotype" w:eastAsiaTheme="minorEastAsia" w:hAnsi="Palatino Linotype" w:cs="Arial"/>
        </w:rPr>
      </w:pPr>
      <w:r>
        <w:rPr>
          <w:rFonts w:ascii="Palatino Linotype" w:hAnsi="Palatino Linotype"/>
        </w:rPr>
        <w:t>Ulteriormente</w:t>
      </w:r>
      <w:r w:rsidRPr="00862E63">
        <w:rPr>
          <w:rFonts w:ascii="Palatino Linotype" w:hAnsi="Palatino Linotype"/>
        </w:rPr>
        <w:t>, una vez realizado el análisis de fondo a la fuente obligacional de</w:t>
      </w:r>
      <w:r w:rsidR="003C5476">
        <w:rPr>
          <w:rFonts w:ascii="Palatino Linotype" w:hAnsi="Palatino Linotype"/>
        </w:rPr>
        <w:t>l</w:t>
      </w:r>
      <w:r w:rsidRPr="00862E63">
        <w:rPr>
          <w:rFonts w:ascii="Palatino Linotype" w:hAnsi="Palatino Linotype"/>
          <w:b/>
        </w:rPr>
        <w:t xml:space="preserve"> SUJETO OBLIGADO </w:t>
      </w:r>
      <w:r w:rsidRPr="00862E63">
        <w:rPr>
          <w:rFonts w:ascii="Palatino Linotype" w:hAnsi="Palatino Linotype"/>
        </w:rPr>
        <w:t xml:space="preserve">se calificó como fundado el motivo de inconformidad hecho valer por </w:t>
      </w:r>
      <w:r w:rsidRPr="00862E63">
        <w:rPr>
          <w:rFonts w:ascii="Palatino Linotype" w:hAnsi="Palatino Linotype"/>
          <w:b/>
        </w:rPr>
        <w:t xml:space="preserve">EL RECURRENTE </w:t>
      </w:r>
      <w:r w:rsidRPr="00862E63">
        <w:rPr>
          <w:rFonts w:ascii="Palatino Linotype" w:hAnsi="Palatino Linotype"/>
        </w:rPr>
        <w:t>y se ordenó la entrega del s</w:t>
      </w:r>
      <w:r w:rsidRPr="00862E63">
        <w:rPr>
          <w:rFonts w:ascii="Palatino Linotype" w:hAnsi="Palatino Linotype"/>
          <w:color w:val="000000"/>
        </w:rPr>
        <w:t>oporte documental que cont</w:t>
      </w:r>
      <w:r w:rsidR="003C5476">
        <w:rPr>
          <w:rFonts w:ascii="Palatino Linotype" w:hAnsi="Palatino Linotype"/>
          <w:color w:val="000000"/>
        </w:rPr>
        <w:t>uviera</w:t>
      </w:r>
      <w:r w:rsidRPr="00862E63">
        <w:rPr>
          <w:rFonts w:ascii="Palatino Linotype" w:hAnsi="Palatino Linotype"/>
          <w:color w:val="000000"/>
        </w:rPr>
        <w:t xml:space="preserve"> las donaciones en dinero y en especie realizadas por el </w:t>
      </w:r>
      <w:r w:rsidRPr="00862E63">
        <w:rPr>
          <w:rFonts w:ascii="Palatino Linotype" w:eastAsiaTheme="minorEastAsia" w:hAnsi="Palatino Linotype" w:cs="Arial"/>
          <w:szCs w:val="22"/>
        </w:rPr>
        <w:t>Sistema Municipal para el Desarrollo Integral de la Familia de Valle de Chalco Solidaridad</w:t>
      </w:r>
      <w:r w:rsidRPr="00862E63">
        <w:rPr>
          <w:rFonts w:ascii="Palatino Linotype" w:eastAsiaTheme="minorEastAsia" w:hAnsi="Palatino Linotype" w:cs="Arial"/>
        </w:rPr>
        <w:t>, por el periodo peticionado, en versión pública.</w:t>
      </w:r>
    </w:p>
    <w:p w:rsidR="00C90A7B" w:rsidRPr="00862E63" w:rsidRDefault="00C90A7B" w:rsidP="00090B6C">
      <w:pPr>
        <w:spacing w:before="100" w:beforeAutospacing="1" w:after="100" w:afterAutospacing="1" w:line="360" w:lineRule="auto"/>
        <w:jc w:val="both"/>
        <w:rPr>
          <w:rFonts w:ascii="Palatino Linotype" w:hAnsi="Palatino Linotype" w:cs="Arial"/>
        </w:rPr>
      </w:pPr>
      <w:r w:rsidRPr="00862E63">
        <w:rPr>
          <w:rFonts w:ascii="Palatino Linotype" w:eastAsiaTheme="minorEastAsia" w:hAnsi="Palatino Linotype" w:cs="Arial"/>
        </w:rPr>
        <w:t xml:space="preserve">Una vez precisado </w:t>
      </w:r>
      <w:r w:rsidR="00731320">
        <w:rPr>
          <w:rFonts w:ascii="Palatino Linotype" w:eastAsiaTheme="minorEastAsia" w:hAnsi="Palatino Linotype" w:cs="Arial"/>
        </w:rPr>
        <w:t>esto</w:t>
      </w:r>
      <w:r w:rsidRPr="00862E63">
        <w:rPr>
          <w:rFonts w:ascii="Palatino Linotype" w:eastAsiaTheme="minorEastAsia" w:hAnsi="Palatino Linotype" w:cs="Arial"/>
        </w:rPr>
        <w:t xml:space="preserve">, </w:t>
      </w:r>
      <w:r w:rsidRPr="00862E63">
        <w:rPr>
          <w:rFonts w:ascii="Palatino Linotype" w:hAnsi="Palatino Linotype" w:cs="Arial"/>
        </w:rPr>
        <w:t>la que suscribe reiter</w:t>
      </w:r>
      <w:r w:rsidR="003C5476">
        <w:rPr>
          <w:rFonts w:ascii="Palatino Linotype" w:hAnsi="Palatino Linotype" w:cs="Arial"/>
        </w:rPr>
        <w:t>a</w:t>
      </w:r>
      <w:r w:rsidRPr="00862E63">
        <w:rPr>
          <w:rFonts w:ascii="Palatino Linotype" w:hAnsi="Palatino Linotype" w:cs="Arial"/>
        </w:rPr>
        <w:t xml:space="preserve"> que si bien es cierto que coincido, en términos generales, con el sentido de la resolución en comento; también lo es, que estimo que la información remitida por </w:t>
      </w:r>
      <w:r w:rsidRPr="00862E63">
        <w:rPr>
          <w:rFonts w:ascii="Palatino Linotype" w:hAnsi="Palatino Linotype" w:cs="Arial"/>
          <w:b/>
        </w:rPr>
        <w:t>EL SUJETO OBLIGADO</w:t>
      </w:r>
      <w:r w:rsidRPr="00862E63">
        <w:rPr>
          <w:rFonts w:ascii="Palatino Linotype" w:hAnsi="Palatino Linotype" w:cs="Arial"/>
        </w:rPr>
        <w:t xml:space="preserve"> en su Informe Justificado, relativa a los padrones de beneficiarios de despensas, debió hacerse del conocimiento de</w:t>
      </w:r>
      <w:r w:rsidR="003C5476">
        <w:rPr>
          <w:rFonts w:ascii="Palatino Linotype" w:hAnsi="Palatino Linotype" w:cs="Arial"/>
        </w:rPr>
        <w:t>l</w:t>
      </w:r>
      <w:r w:rsidRPr="00862E63">
        <w:rPr>
          <w:rFonts w:ascii="Palatino Linotype" w:hAnsi="Palatino Linotype" w:cs="Arial"/>
          <w:b/>
        </w:rPr>
        <w:t xml:space="preserve"> RECURRENTE</w:t>
      </w:r>
      <w:r w:rsidRPr="00862E63">
        <w:rPr>
          <w:rFonts w:ascii="Palatino Linotype" w:hAnsi="Palatino Linotype" w:cs="Arial"/>
        </w:rPr>
        <w:t>, al estimar que ésta no conlleva actos que pudiesen generar discriminación, como sí lo hace aquella inherente a gastos funerarios.</w:t>
      </w:r>
    </w:p>
    <w:p w:rsidR="00C90A7B" w:rsidRPr="00FA66CF" w:rsidRDefault="00C90A7B" w:rsidP="00090B6C">
      <w:pPr>
        <w:spacing w:before="100" w:beforeAutospacing="1" w:after="100" w:afterAutospacing="1" w:line="360" w:lineRule="auto"/>
        <w:ind w:firstLine="1"/>
        <w:jc w:val="both"/>
        <w:rPr>
          <w:rFonts w:ascii="Palatino Linotype" w:eastAsiaTheme="minorEastAsia" w:hAnsi="Palatino Linotype" w:cs="Arial"/>
        </w:rPr>
      </w:pPr>
      <w:r w:rsidRPr="00FA66CF">
        <w:rPr>
          <w:rFonts w:ascii="Palatino Linotype" w:hAnsi="Palatino Linotype"/>
        </w:rPr>
        <w:t xml:space="preserve">Lo anterior es así, ya </w:t>
      </w:r>
      <w:r w:rsidR="00731320">
        <w:rPr>
          <w:rFonts w:ascii="Palatino Linotype" w:hAnsi="Palatino Linotype"/>
        </w:rPr>
        <w:t>que se comparte</w:t>
      </w:r>
      <w:r w:rsidRPr="00FA66CF">
        <w:rPr>
          <w:rFonts w:ascii="Palatino Linotype" w:hAnsi="Palatino Linotype"/>
        </w:rPr>
        <w:t xml:space="preserve"> el argumento relativo a que </w:t>
      </w:r>
      <w:r w:rsidRPr="00FA66CF">
        <w:rPr>
          <w:rFonts w:ascii="Palatino Linotype" w:eastAsiaTheme="minorEastAsia" w:hAnsi="Palatino Linotype" w:cs="Arial"/>
        </w:rPr>
        <w:t xml:space="preserve">el nombre de las personas a las que se entregó un apoyo para cumplir con la previsiones establecidas en el párrafo segundo del artículo 348 de la Ley General de Salud, en el que se dispone que los cadáveres deberán inhumarse, incinerarse o embalsamarse dentro de las cuarenta y ocho horas siguientes a la muerte, </w:t>
      </w:r>
      <w:r w:rsidR="00CE3558">
        <w:rPr>
          <w:rFonts w:ascii="Palatino Linotype" w:hAnsi="Palatino Linotype"/>
        </w:rPr>
        <w:t xml:space="preserve">en los </w:t>
      </w:r>
      <w:r w:rsidRPr="00FA66CF">
        <w:rPr>
          <w:rFonts w:ascii="Palatino Linotype" w:hAnsi="Palatino Linotype"/>
        </w:rPr>
        <w:t xml:space="preserve">lugares permitidos por las autoridades sanitarias competentes, </w:t>
      </w:r>
      <w:r w:rsidRPr="00FA66CF">
        <w:rPr>
          <w:rFonts w:ascii="Palatino Linotype" w:eastAsiaTheme="minorEastAsia" w:hAnsi="Palatino Linotype" w:cs="Arial"/>
        </w:rPr>
        <w:t xml:space="preserve">atenta contra el derecho fundamental a la </w:t>
      </w:r>
      <w:r w:rsidRPr="00FA66CF">
        <w:rPr>
          <w:rFonts w:ascii="Palatino Linotype" w:eastAsiaTheme="minorEastAsia" w:hAnsi="Palatino Linotype" w:cs="Arial"/>
        </w:rPr>
        <w:lastRenderedPageBreak/>
        <w:t>protección de datos personales, al resultar claro que se encuentran en nivel de vulnerabilidad social; situación que invariablemente hace necesario que se clasifique como información confidencial el nombre</w:t>
      </w:r>
      <w:r w:rsidR="003C5476">
        <w:rPr>
          <w:rFonts w:ascii="Palatino Linotype" w:eastAsiaTheme="minorEastAsia" w:hAnsi="Palatino Linotype" w:cs="Arial"/>
        </w:rPr>
        <w:t xml:space="preserve"> de las personas beneficiadas</w:t>
      </w:r>
      <w:r w:rsidRPr="00FA66CF">
        <w:rPr>
          <w:rFonts w:ascii="Palatino Linotype" w:eastAsiaTheme="minorEastAsia" w:hAnsi="Palatino Linotype" w:cs="Arial"/>
        </w:rPr>
        <w:t>, para contribuir a la protección social de individuos vulnerables, propensos a sufrir algún tipo de discriminación por parte de la sociedad.</w:t>
      </w:r>
    </w:p>
    <w:p w:rsidR="00C90A7B" w:rsidRPr="00862E63" w:rsidRDefault="00C90A7B" w:rsidP="00090B6C">
      <w:pPr>
        <w:spacing w:before="100" w:beforeAutospacing="1" w:after="100" w:afterAutospacing="1" w:line="360" w:lineRule="auto"/>
        <w:ind w:firstLine="1"/>
        <w:jc w:val="both"/>
        <w:rPr>
          <w:rFonts w:ascii="Palatino Linotype" w:eastAsiaTheme="minorEastAsia" w:hAnsi="Palatino Linotype" w:cs="Arial"/>
        </w:rPr>
      </w:pPr>
      <w:r w:rsidRPr="00862E63">
        <w:rPr>
          <w:rFonts w:ascii="Palatino Linotype" w:eastAsiaTheme="minorEastAsia" w:hAnsi="Palatino Linotype" w:cs="Arial"/>
        </w:rPr>
        <w:t xml:space="preserve">Sin embargo, </w:t>
      </w:r>
      <w:r w:rsidR="00731320">
        <w:rPr>
          <w:rFonts w:ascii="Palatino Linotype" w:eastAsiaTheme="minorEastAsia" w:hAnsi="Palatino Linotype" w:cs="Arial"/>
        </w:rPr>
        <w:t xml:space="preserve">se </w:t>
      </w:r>
      <w:r w:rsidRPr="00862E63">
        <w:rPr>
          <w:rFonts w:ascii="Palatino Linotype" w:eastAsiaTheme="minorEastAsia" w:hAnsi="Palatino Linotype" w:cs="Arial"/>
        </w:rPr>
        <w:t>consider</w:t>
      </w:r>
      <w:r w:rsidR="00731320">
        <w:rPr>
          <w:rFonts w:ascii="Palatino Linotype" w:eastAsiaTheme="minorEastAsia" w:hAnsi="Palatino Linotype" w:cs="Arial"/>
        </w:rPr>
        <w:t>a</w:t>
      </w:r>
      <w:r w:rsidRPr="00862E63">
        <w:rPr>
          <w:rFonts w:ascii="Palatino Linotype" w:eastAsiaTheme="minorEastAsia" w:hAnsi="Palatino Linotype" w:cs="Arial"/>
        </w:rPr>
        <w:t xml:space="preserve"> que no debe hacerse un tratamiento análogo a aquellas personas que fueron beneficiadas con apoyos relativos a despensas</w:t>
      </w:r>
      <w:r>
        <w:rPr>
          <w:rFonts w:ascii="Palatino Linotype" w:eastAsiaTheme="minorEastAsia" w:hAnsi="Palatino Linotype" w:cs="Arial"/>
        </w:rPr>
        <w:t>;</w:t>
      </w:r>
      <w:r w:rsidRPr="00862E63">
        <w:rPr>
          <w:rFonts w:ascii="Palatino Linotype" w:eastAsiaTheme="minorEastAsia" w:hAnsi="Palatino Linotype" w:cs="Arial"/>
        </w:rPr>
        <w:t xml:space="preserve"> puesto que</w:t>
      </w:r>
      <w:r>
        <w:rPr>
          <w:rFonts w:ascii="Palatino Linotype" w:eastAsiaTheme="minorEastAsia" w:hAnsi="Palatino Linotype" w:cs="Arial"/>
        </w:rPr>
        <w:t>,</w:t>
      </w:r>
      <w:r w:rsidRPr="00862E63">
        <w:rPr>
          <w:rFonts w:ascii="Palatino Linotype" w:eastAsiaTheme="minorEastAsia" w:hAnsi="Palatino Linotype" w:cs="Arial"/>
        </w:rPr>
        <w:t xml:space="preserve"> como se verá en líneas posteriores, estimo que la entrega de la información de análisis no configura la posible realización de conductas discriminatorias.</w:t>
      </w:r>
    </w:p>
    <w:p w:rsidR="00C90A7B" w:rsidRPr="00862E63" w:rsidRDefault="00C90A7B" w:rsidP="00090B6C">
      <w:pPr>
        <w:spacing w:before="100" w:beforeAutospacing="1" w:after="100" w:afterAutospacing="1" w:line="360" w:lineRule="auto"/>
        <w:ind w:firstLine="1"/>
        <w:jc w:val="both"/>
        <w:rPr>
          <w:rFonts w:ascii="Palatino Linotype" w:hAnsi="Palatino Linotype"/>
        </w:rPr>
      </w:pPr>
      <w:r w:rsidRPr="00862E63">
        <w:rPr>
          <w:rFonts w:ascii="Palatino Linotype" w:eastAsiaTheme="minorEastAsia" w:hAnsi="Palatino Linotype" w:cs="Arial"/>
        </w:rPr>
        <w:t>Al respecto, es importante resaltar que el artículo 5, cuarto párrafo de la Constitución Política del Estado Libre y Soberano de México prohíbe expresamente</w:t>
      </w:r>
      <w:r w:rsidRPr="00862E63">
        <w:rPr>
          <w:rFonts w:ascii="Palatino Linotype" w:hAnsi="Palatino Linotype"/>
        </w:rPr>
        <w:t xml:space="preserve"> toda discriminación motivada por origen étnico o nacional, género, edad, discapacidades, condición social, condiciones de salud, religión, opiniones, orientación sexual e identidad de género, estado civil o cualquier otra que atente contra la dignidad humana y tenga por objeto anular o menoscabar los derechos y libertades de las personas. </w:t>
      </w:r>
    </w:p>
    <w:p w:rsidR="00C90A7B" w:rsidRPr="00862E63" w:rsidRDefault="00C90A7B" w:rsidP="00090B6C">
      <w:pPr>
        <w:spacing w:before="100" w:beforeAutospacing="1" w:after="100" w:afterAutospacing="1" w:line="360" w:lineRule="auto"/>
        <w:ind w:firstLine="1"/>
        <w:jc w:val="both"/>
        <w:rPr>
          <w:rFonts w:ascii="Palatino Linotype" w:hAnsi="Palatino Linotype"/>
        </w:rPr>
      </w:pPr>
      <w:r w:rsidRPr="00862E63">
        <w:rPr>
          <w:rFonts w:ascii="Palatino Linotype" w:hAnsi="Palatino Linotype"/>
        </w:rPr>
        <w:t>Por su parte, la Ley para Prevenir, Combatir y Eliminar Actos de Discriminación en el Estado de México</w:t>
      </w:r>
      <w:r w:rsidRPr="00862E63">
        <w:rPr>
          <w:rFonts w:ascii="Palatino Linotype" w:hAnsi="Palatino Linotype"/>
          <w:sz w:val="28"/>
        </w:rPr>
        <w:t xml:space="preserve"> </w:t>
      </w:r>
      <w:r w:rsidRPr="00862E63">
        <w:rPr>
          <w:rFonts w:ascii="Palatino Linotype" w:hAnsi="Palatino Linotype"/>
        </w:rPr>
        <w:t xml:space="preserve">tiene por objeto prevenir y eliminar toda forma de discriminación que se ejerza en contra de cualquier persona, para proteger el goce y ejercicio de sus derechos fundamentales en los términos de los artículos 1 de la Constitución Política </w:t>
      </w:r>
      <w:r w:rsidR="003C5476">
        <w:rPr>
          <w:rFonts w:ascii="Palatino Linotype" w:hAnsi="Palatino Linotype"/>
        </w:rPr>
        <w:t>de los Estados Unidos Mexicanos y</w:t>
      </w:r>
      <w:r w:rsidRPr="00862E63">
        <w:rPr>
          <w:rFonts w:ascii="Palatino Linotype" w:hAnsi="Palatino Linotype"/>
        </w:rPr>
        <w:t xml:space="preserve"> 5 de la Constitución Política del Estado Libre y Soberano de México, Tratados Internacionales en los que México es parte y de las leyes </w:t>
      </w:r>
      <w:r w:rsidRPr="00862E63">
        <w:rPr>
          <w:rFonts w:ascii="Palatino Linotype" w:hAnsi="Palatino Linotype"/>
        </w:rPr>
        <w:lastRenderedPageBreak/>
        <w:t>que de ellas emanan; así como, promover condiciones de equidad e igualdad de oportunidades y de trato.</w:t>
      </w:r>
    </w:p>
    <w:p w:rsidR="00C90A7B" w:rsidRPr="00862E63" w:rsidRDefault="00C90A7B" w:rsidP="00090B6C">
      <w:pPr>
        <w:spacing w:before="100" w:beforeAutospacing="1" w:after="100" w:afterAutospacing="1" w:line="360" w:lineRule="auto"/>
        <w:ind w:firstLine="1"/>
        <w:jc w:val="both"/>
        <w:rPr>
          <w:rFonts w:ascii="Palatino Linotype" w:hAnsi="Palatino Linotype"/>
        </w:rPr>
      </w:pPr>
      <w:r w:rsidRPr="00862E63">
        <w:rPr>
          <w:rFonts w:ascii="Palatino Linotype" w:hAnsi="Palatino Linotype"/>
        </w:rPr>
        <w:t xml:space="preserve">Bajo esa óptica, el artículo 2 de la legislación en cita establece que corresponde a los poderes públicos del Estado, a los ayuntamientos, a los organismos públicos autónomos; así como, a los organismos auxiliares de la administración pública estatal y municipal observar, regular, intervenir, salvaguardar y promover, el goce y ejercicio efectivo de los derechos fundamentales en condiciones de equidad e igualdad de las personas y que se deben eliminar aquellos obstáculos que limiten el ejercicio e impidan el pleno desarrollo de las personas; así como, su efectiva participación en la vida política, económica, cultural y social de la entidad federativa y del país. </w:t>
      </w:r>
    </w:p>
    <w:p w:rsidR="00C90A7B" w:rsidRPr="00862E63" w:rsidRDefault="00C90A7B" w:rsidP="00090B6C">
      <w:pPr>
        <w:spacing w:before="100" w:beforeAutospacing="1" w:after="100" w:afterAutospacing="1" w:line="360" w:lineRule="auto"/>
        <w:ind w:firstLine="1"/>
        <w:jc w:val="both"/>
        <w:rPr>
          <w:rFonts w:ascii="Palatino Linotype" w:hAnsi="Palatino Linotype"/>
        </w:rPr>
      </w:pPr>
      <w:r w:rsidRPr="00862E63">
        <w:rPr>
          <w:rFonts w:ascii="Palatino Linotype" w:hAnsi="Palatino Linotype"/>
        </w:rPr>
        <w:t xml:space="preserve">Ahora bien, el diverso artículo 5 de la Ley para Prevenir, Combatir y Eliminar Actos de Discriminación en el Estado de México establece que por discriminación se entiende toda forma de preferencia, distinción, exclusión, repudio, desprecio, incomprensión, rechazo o restricción que, basada en el origen étnico o nacional como el antisemitismo o cualquier otro tipo de segregación; sexo o género; edad; discapacidad; condición social o económica; condiciones de salud; embarazo; lengua; religión; opiniones; predilecciones de cualquier índole; estado civil o alguna otra que tenga por efecto impedir o anular el reconocimiento o el ejercicio de los derechos fundamentales en condiciones de equidad e igualdad de oportunidades y de trato de las personas. </w:t>
      </w:r>
    </w:p>
    <w:p w:rsidR="00C90A7B" w:rsidRPr="00862E63" w:rsidRDefault="00C90A7B" w:rsidP="00090B6C">
      <w:pPr>
        <w:spacing w:before="100" w:beforeAutospacing="1" w:after="100" w:afterAutospacing="1" w:line="360" w:lineRule="auto"/>
        <w:ind w:firstLine="1"/>
        <w:jc w:val="both"/>
        <w:rPr>
          <w:rFonts w:ascii="Palatino Linotype" w:hAnsi="Palatino Linotype"/>
        </w:rPr>
      </w:pPr>
      <w:r w:rsidRPr="00862E63">
        <w:rPr>
          <w:rFonts w:ascii="Palatino Linotype" w:hAnsi="Palatino Linotype"/>
        </w:rPr>
        <w:t xml:space="preserve">Con base en lo anterior, pareciera que el argumento esgrimido por la Ponencia Resolutora respecto de que la entrega de los nombres de beneficiarios de apoyos de </w:t>
      </w:r>
      <w:r w:rsidRPr="00862E63">
        <w:rPr>
          <w:rFonts w:ascii="Palatino Linotype" w:hAnsi="Palatino Linotype"/>
        </w:rPr>
        <w:lastRenderedPageBreak/>
        <w:t xml:space="preserve">despensa </w:t>
      </w:r>
      <w:r>
        <w:rPr>
          <w:rFonts w:ascii="Palatino Linotype" w:hAnsi="Palatino Linotype"/>
        </w:rPr>
        <w:t>los expone</w:t>
      </w:r>
      <w:r w:rsidRPr="00862E63">
        <w:rPr>
          <w:rFonts w:ascii="Palatino Linotype" w:eastAsiaTheme="minorEastAsia" w:hAnsi="Palatino Linotype" w:cs="Arial"/>
        </w:rPr>
        <w:t xml:space="preserve"> a situaciones de discriminación resultaría correcto, en atención a que pudiera consistir en una </w:t>
      </w:r>
      <w:r w:rsidRPr="00862E63">
        <w:rPr>
          <w:rFonts w:ascii="Palatino Linotype" w:hAnsi="Palatino Linotype"/>
        </w:rPr>
        <w:t>preferencia, distinción, exclusión, repudio, desprecio, incomprensión, rechazo o restricción basada en su condición social y económica. Sin embargo, la propia legislación citada en su artículo 6, fracción I establece lo siguiente:</w:t>
      </w:r>
    </w:p>
    <w:p w:rsidR="00C90A7B" w:rsidRDefault="00C90A7B" w:rsidP="00090B6C">
      <w:pPr>
        <w:spacing w:before="100" w:beforeAutospacing="1" w:after="100" w:afterAutospacing="1"/>
        <w:ind w:left="851" w:right="616"/>
        <w:jc w:val="both"/>
        <w:rPr>
          <w:rFonts w:ascii="Palatino Linotype" w:hAnsi="Palatino Linotype"/>
          <w:i/>
          <w:sz w:val="22"/>
          <w:szCs w:val="22"/>
        </w:rPr>
      </w:pPr>
      <w:r w:rsidRPr="00BD021A">
        <w:rPr>
          <w:rFonts w:ascii="Palatino Linotype" w:hAnsi="Palatino Linotype"/>
          <w:b/>
          <w:i/>
          <w:sz w:val="22"/>
          <w:szCs w:val="22"/>
        </w:rPr>
        <w:t xml:space="preserve">“Artículo 6.- No se considerarán conductas discriminatorias </w:t>
      </w:r>
      <w:r w:rsidRPr="00BD021A">
        <w:rPr>
          <w:rFonts w:ascii="Palatino Linotype" w:hAnsi="Palatino Linotype"/>
          <w:i/>
          <w:sz w:val="22"/>
          <w:szCs w:val="22"/>
        </w:rPr>
        <w:t xml:space="preserve">de manera enunciativa y no limitativa, las siguientes: </w:t>
      </w:r>
    </w:p>
    <w:p w:rsidR="00C90A7B" w:rsidRDefault="00C90A7B" w:rsidP="00090B6C">
      <w:pPr>
        <w:pStyle w:val="Prrafodelista"/>
        <w:numPr>
          <w:ilvl w:val="0"/>
          <w:numId w:val="1"/>
        </w:numPr>
        <w:spacing w:before="100" w:beforeAutospacing="1" w:after="100" w:afterAutospacing="1"/>
        <w:ind w:left="851" w:right="616" w:firstLine="0"/>
        <w:contextualSpacing w:val="0"/>
        <w:jc w:val="both"/>
        <w:rPr>
          <w:rFonts w:ascii="Palatino Linotype" w:hAnsi="Palatino Linotype"/>
          <w:b/>
          <w:i/>
          <w:sz w:val="22"/>
          <w:szCs w:val="22"/>
        </w:rPr>
      </w:pPr>
      <w:r w:rsidRPr="00BD021A">
        <w:rPr>
          <w:rFonts w:ascii="Palatino Linotype" w:hAnsi="Palatino Linotype"/>
          <w:i/>
          <w:sz w:val="22"/>
          <w:szCs w:val="22"/>
        </w:rPr>
        <w:t>Las acciones legislativas, educativas o de</w:t>
      </w:r>
      <w:r w:rsidRPr="00BD021A">
        <w:rPr>
          <w:rFonts w:ascii="Palatino Linotype" w:hAnsi="Palatino Linotype"/>
          <w:b/>
          <w:i/>
          <w:sz w:val="22"/>
          <w:szCs w:val="22"/>
        </w:rPr>
        <w:t xml:space="preserve"> políticas públicas positivas o compensatorias que sin afectar derechos de terceros, establezcan tratos diferenciados con el objeto de promover condiciones de equidad e igualdad de oportunidades;</w:t>
      </w:r>
    </w:p>
    <w:p w:rsidR="003F730A" w:rsidRDefault="00C90A7B" w:rsidP="00090B6C">
      <w:pPr>
        <w:pStyle w:val="Prrafodelista"/>
        <w:spacing w:before="100" w:beforeAutospacing="1" w:after="100" w:afterAutospacing="1"/>
        <w:ind w:left="851" w:right="616"/>
        <w:contextualSpacing w:val="0"/>
        <w:jc w:val="both"/>
        <w:rPr>
          <w:rFonts w:ascii="Palatino Linotype" w:hAnsi="Palatino Linotype"/>
          <w:b/>
          <w:i/>
          <w:sz w:val="22"/>
          <w:szCs w:val="22"/>
        </w:rPr>
      </w:pPr>
      <w:r w:rsidRPr="00BD021A">
        <w:rPr>
          <w:rFonts w:ascii="Palatino Linotype" w:hAnsi="Palatino Linotype"/>
          <w:b/>
          <w:i/>
          <w:sz w:val="22"/>
          <w:szCs w:val="22"/>
        </w:rPr>
        <w:t>…”</w:t>
      </w:r>
    </w:p>
    <w:p w:rsidR="00C90A7B" w:rsidRPr="00090B6C" w:rsidRDefault="00C90A7B" w:rsidP="00090B6C">
      <w:pPr>
        <w:pStyle w:val="Prrafodelista"/>
        <w:spacing w:before="100" w:beforeAutospacing="1" w:after="100" w:afterAutospacing="1"/>
        <w:ind w:left="851" w:right="616"/>
        <w:contextualSpacing w:val="0"/>
        <w:jc w:val="both"/>
        <w:rPr>
          <w:rFonts w:ascii="Palatino Linotype" w:hAnsi="Palatino Linotype"/>
          <w:b/>
          <w:i/>
          <w:sz w:val="22"/>
          <w:szCs w:val="22"/>
        </w:rPr>
      </w:pPr>
      <w:r w:rsidRPr="00BD021A">
        <w:rPr>
          <w:rFonts w:ascii="Palatino Linotype" w:hAnsi="Palatino Linotype"/>
          <w:b/>
          <w:i/>
          <w:sz w:val="22"/>
          <w:szCs w:val="22"/>
        </w:rPr>
        <w:t>(</w:t>
      </w:r>
      <w:r w:rsidRPr="00BD021A">
        <w:rPr>
          <w:rFonts w:ascii="Palatino Linotype" w:hAnsi="Palatino Linotype"/>
          <w:b/>
          <w:i/>
        </w:rPr>
        <w:t xml:space="preserve">Énfasis </w:t>
      </w:r>
      <w:r w:rsidRPr="00BD021A">
        <w:rPr>
          <w:rFonts w:ascii="Palatino Linotype" w:hAnsi="Palatino Linotype"/>
          <w:b/>
          <w:i/>
          <w:sz w:val="22"/>
          <w:szCs w:val="22"/>
        </w:rPr>
        <w:t>añadido)</w:t>
      </w:r>
    </w:p>
    <w:p w:rsidR="00C90A7B" w:rsidRPr="00862E63" w:rsidRDefault="00C90A7B" w:rsidP="00090B6C">
      <w:pPr>
        <w:spacing w:before="100" w:beforeAutospacing="1" w:after="100" w:afterAutospacing="1" w:line="360" w:lineRule="auto"/>
        <w:jc w:val="both"/>
        <w:rPr>
          <w:rFonts w:ascii="Palatino Linotype" w:hAnsi="Palatino Linotype"/>
        </w:rPr>
      </w:pPr>
      <w:r w:rsidRPr="00862E63">
        <w:rPr>
          <w:rFonts w:ascii="Palatino Linotype" w:hAnsi="Palatino Linotype"/>
        </w:rPr>
        <w:t>Es así como, la legislación mexiquense establece</w:t>
      </w:r>
      <w:r>
        <w:rPr>
          <w:rFonts w:ascii="Palatino Linotype" w:hAnsi="Palatino Linotype"/>
        </w:rPr>
        <w:t>,</w:t>
      </w:r>
      <w:r w:rsidRPr="00862E63">
        <w:rPr>
          <w:rFonts w:ascii="Palatino Linotype" w:hAnsi="Palatino Linotype"/>
        </w:rPr>
        <w:t xml:space="preserve"> de manera enunciativa más no limitativa</w:t>
      </w:r>
      <w:r>
        <w:rPr>
          <w:rFonts w:ascii="Palatino Linotype" w:hAnsi="Palatino Linotype"/>
        </w:rPr>
        <w:t>,</w:t>
      </w:r>
      <w:r w:rsidRPr="00862E63">
        <w:rPr>
          <w:rFonts w:ascii="Palatino Linotype" w:hAnsi="Palatino Linotype"/>
        </w:rPr>
        <w:t xml:space="preserve"> que las políticas públicas positivas o compensatorias que</w:t>
      </w:r>
      <w:r>
        <w:rPr>
          <w:rFonts w:ascii="Palatino Linotype" w:hAnsi="Palatino Linotype"/>
        </w:rPr>
        <w:t>,</w:t>
      </w:r>
      <w:r w:rsidRPr="00862E63">
        <w:rPr>
          <w:rFonts w:ascii="Palatino Linotype" w:hAnsi="Palatino Linotype"/>
        </w:rPr>
        <w:t xml:space="preserve"> sin afectar derechos de terceros, establezcan tratos diferenciados con el objeto de promover condiciones de equidad e igualdad de oportunidades no son consideradas conductas discriminatorias; hipótesis legal en la que encuadran perfectamente los padrones de beneficiarios de despensas.</w:t>
      </w:r>
    </w:p>
    <w:p w:rsidR="00C90A7B" w:rsidRPr="00862E63" w:rsidRDefault="00C90A7B" w:rsidP="00090B6C">
      <w:pPr>
        <w:spacing w:before="100" w:beforeAutospacing="1" w:after="100" w:afterAutospacing="1" w:line="360" w:lineRule="auto"/>
        <w:jc w:val="both"/>
        <w:rPr>
          <w:rFonts w:ascii="Palatino Linotype" w:hAnsi="Palatino Linotype"/>
        </w:rPr>
      </w:pPr>
      <w:r w:rsidRPr="00862E63">
        <w:rPr>
          <w:rFonts w:ascii="Palatino Linotype" w:hAnsi="Palatino Linotype"/>
        </w:rPr>
        <w:t>Aunado a lo anterior, el diverso artículo 8 de la legislación aducida establece que las autoridades estatales y municipales están obligadas a adoptar las medidas positivas y compensatorias que tiendan a favorecer condiciones de equidad e igualdad r</w:t>
      </w:r>
      <w:r>
        <w:rPr>
          <w:rFonts w:ascii="Palatino Linotype" w:hAnsi="Palatino Linotype"/>
        </w:rPr>
        <w:t>eal de oportunidades y de trato;</w:t>
      </w:r>
      <w:r w:rsidRPr="00862E63">
        <w:rPr>
          <w:rFonts w:ascii="Palatino Linotype" w:hAnsi="Palatino Linotype"/>
        </w:rPr>
        <w:t xml:space="preserve"> así como</w:t>
      </w:r>
      <w:r>
        <w:rPr>
          <w:rFonts w:ascii="Palatino Linotype" w:hAnsi="Palatino Linotype"/>
        </w:rPr>
        <w:t>,</w:t>
      </w:r>
      <w:r w:rsidRPr="00862E63">
        <w:rPr>
          <w:rFonts w:ascii="Palatino Linotype" w:hAnsi="Palatino Linotype"/>
        </w:rPr>
        <w:t xml:space="preserve"> para prevenir y eliminar toda forma de </w:t>
      </w:r>
      <w:r w:rsidRPr="00862E63">
        <w:rPr>
          <w:rFonts w:ascii="Palatino Linotype" w:hAnsi="Palatino Linotype"/>
        </w:rPr>
        <w:lastRenderedPageBreak/>
        <w:t xml:space="preserve">discriminación de las personas. </w:t>
      </w:r>
      <w:r>
        <w:rPr>
          <w:rFonts w:ascii="Palatino Linotype" w:hAnsi="Palatino Linotype"/>
        </w:rPr>
        <w:t>Asimismo, establece que l</w:t>
      </w:r>
      <w:r w:rsidRPr="00862E63">
        <w:rPr>
          <w:rFonts w:ascii="Palatino Linotype" w:hAnsi="Palatino Linotype"/>
        </w:rPr>
        <w:t xml:space="preserve">a adopción de estas medidas y la realización de acciones afirmativas forman parte de la perspectiva antidiscriminatoria, la cual </w:t>
      </w:r>
      <w:r>
        <w:rPr>
          <w:rFonts w:ascii="Palatino Linotype" w:hAnsi="Palatino Linotype"/>
        </w:rPr>
        <w:t>debe ser</w:t>
      </w:r>
      <w:r w:rsidRPr="00862E63">
        <w:rPr>
          <w:rFonts w:ascii="Palatino Linotype" w:hAnsi="Palatino Linotype"/>
        </w:rPr>
        <w:t xml:space="preserve"> incorporada de manera transversal y progresiva en el quehacer público, y de manera particular en el diseño, implementación y evaluación de las políticas públicas. </w:t>
      </w:r>
    </w:p>
    <w:p w:rsidR="00C90A7B" w:rsidRDefault="00C90A7B" w:rsidP="00090B6C">
      <w:pPr>
        <w:spacing w:before="100" w:beforeAutospacing="1" w:after="100" w:afterAutospacing="1" w:line="360" w:lineRule="auto"/>
        <w:jc w:val="both"/>
        <w:rPr>
          <w:rFonts w:ascii="Palatino Linotype" w:hAnsi="Palatino Linotype" w:cs="Arial"/>
        </w:rPr>
      </w:pPr>
      <w:r w:rsidRPr="00862E63">
        <w:rPr>
          <w:rFonts w:ascii="Palatino Linotype" w:hAnsi="Palatino Linotype"/>
        </w:rPr>
        <w:t xml:space="preserve">En esa virtud, contrario a lo que determina la Ponencia Resolutora, estimo que la política pública consistente en la entrega de apoyos de despensa a personas; más que una conducta discriminatoria, conlleva una perspectiva antidiscriminatoria, pues busca promover condiciones de equidad e igualdad de oportunidades. Máxime que </w:t>
      </w:r>
      <w:r w:rsidRPr="00862E63">
        <w:rPr>
          <w:rFonts w:ascii="Palatino Linotype" w:hAnsi="Palatino Linotype" w:cs="Arial"/>
        </w:rPr>
        <w:t>los programas de desarrollo social son una acción gubernamental dirigida a modificar la condición de desigualdad social mediante la entrega de un bien o transferencia de recursos, la cual se norma a partir de sus respectivas reglas de operación, estableciendo que un beneficiario es aquella persona que forma parte de la población atendida por los programas de desarrollo social.</w:t>
      </w:r>
    </w:p>
    <w:p w:rsidR="00C90A7B" w:rsidRPr="00862E63" w:rsidRDefault="00C90A7B" w:rsidP="00090B6C">
      <w:pPr>
        <w:tabs>
          <w:tab w:val="left" w:pos="709"/>
        </w:tabs>
        <w:spacing w:before="100" w:beforeAutospacing="1" w:after="100" w:afterAutospacing="1" w:line="360" w:lineRule="auto"/>
        <w:jc w:val="both"/>
        <w:rPr>
          <w:rFonts w:ascii="Palatino Linotype" w:hAnsi="Palatino Linotype"/>
        </w:rPr>
      </w:pPr>
      <w:r w:rsidRPr="00862E63">
        <w:rPr>
          <w:rFonts w:ascii="Palatino Linotype" w:hAnsi="Palatino Linotype" w:cs="Arial"/>
        </w:rPr>
        <w:t>Finalmente, no omito señalar que</w:t>
      </w:r>
      <w:r>
        <w:rPr>
          <w:rFonts w:ascii="Palatino Linotype" w:hAnsi="Palatino Linotype" w:cs="Arial"/>
        </w:rPr>
        <w:t>,</w:t>
      </w:r>
      <w:r w:rsidRPr="00862E63">
        <w:rPr>
          <w:rFonts w:ascii="Palatino Linotype" w:hAnsi="Palatino Linotype" w:cs="Arial"/>
        </w:rPr>
        <w:t xml:space="preserve"> si bien es cierto que el padrón de beneficiarios debe contener el nombre de la persona física o denominación de la persona jurídica colectiva beneficiadas </w:t>
      </w:r>
      <w:r w:rsidR="00D166B0">
        <w:rPr>
          <w:rFonts w:ascii="Palatino Linotype" w:hAnsi="Palatino Linotype" w:cs="Arial"/>
        </w:rPr>
        <w:t>misma que debe darse a conocer</w:t>
      </w:r>
      <w:r w:rsidRPr="00862E63">
        <w:rPr>
          <w:rFonts w:ascii="Palatino Linotype" w:hAnsi="Palatino Linotype" w:cs="Arial"/>
        </w:rPr>
        <w:t xml:space="preserve">; también lo es que, para el caso de </w:t>
      </w:r>
      <w:r w:rsidRPr="00862E63">
        <w:rPr>
          <w:rFonts w:ascii="Palatino Linotype" w:hAnsi="Palatino Linotype"/>
        </w:rPr>
        <w:t>menores de edad, personas con capacidades diferentes, el nombre debe considerarse como información confidencial, la cual debe ser clasificada como tal.</w:t>
      </w:r>
    </w:p>
    <w:p w:rsidR="00C90A7B" w:rsidRPr="00862E63" w:rsidRDefault="00C90A7B" w:rsidP="00090B6C">
      <w:pPr>
        <w:spacing w:before="100" w:beforeAutospacing="1" w:after="100" w:afterAutospacing="1" w:line="360" w:lineRule="auto"/>
        <w:jc w:val="both"/>
        <w:rPr>
          <w:rFonts w:ascii="Palatino Linotype" w:hAnsi="Palatino Linotype"/>
          <w:sz w:val="28"/>
        </w:rPr>
      </w:pPr>
      <w:r>
        <w:rPr>
          <w:rFonts w:ascii="Palatino Linotype" w:hAnsi="Palatino Linotype"/>
        </w:rPr>
        <w:lastRenderedPageBreak/>
        <w:t>En razón de lo expuesto, la suscr</w:t>
      </w:r>
      <w:r w:rsidR="00D166B0">
        <w:rPr>
          <w:rFonts w:ascii="Palatino Linotype" w:hAnsi="Palatino Linotype"/>
        </w:rPr>
        <w:t>ita insiste</w:t>
      </w:r>
      <w:r>
        <w:rPr>
          <w:rFonts w:ascii="Palatino Linotype" w:hAnsi="Palatino Linotype"/>
        </w:rPr>
        <w:t xml:space="preserve"> en que </w:t>
      </w:r>
      <w:r w:rsidRPr="00862E63">
        <w:rPr>
          <w:rFonts w:ascii="Palatino Linotype" w:hAnsi="Palatino Linotype" w:cs="Arial"/>
        </w:rPr>
        <w:t xml:space="preserve">la información remitida por </w:t>
      </w:r>
      <w:r w:rsidRPr="00862E63">
        <w:rPr>
          <w:rFonts w:ascii="Palatino Linotype" w:hAnsi="Palatino Linotype" w:cs="Arial"/>
          <w:b/>
        </w:rPr>
        <w:t>EL SUJETO OBLIGADO</w:t>
      </w:r>
      <w:r w:rsidRPr="00862E63">
        <w:rPr>
          <w:rFonts w:ascii="Palatino Linotype" w:hAnsi="Palatino Linotype" w:cs="Arial"/>
        </w:rPr>
        <w:t xml:space="preserve"> en su Informe Justificado, relativa a los padrones de beneficiarios de despensas, debió hacerse del conocimiento de</w:t>
      </w:r>
      <w:r w:rsidR="00D166B0">
        <w:rPr>
          <w:rFonts w:ascii="Palatino Linotype" w:hAnsi="Palatino Linotype" w:cs="Arial"/>
        </w:rPr>
        <w:t>l</w:t>
      </w:r>
      <w:r w:rsidRPr="00862E63">
        <w:rPr>
          <w:rFonts w:ascii="Palatino Linotype" w:hAnsi="Palatino Linotype" w:cs="Arial"/>
          <w:b/>
        </w:rPr>
        <w:t xml:space="preserve"> RECURRENTE</w:t>
      </w:r>
      <w:r>
        <w:rPr>
          <w:rFonts w:ascii="Palatino Linotype" w:hAnsi="Palatino Linotype" w:cs="Arial"/>
        </w:rPr>
        <w:t>.</w:t>
      </w:r>
    </w:p>
    <w:p w:rsidR="001B6DD5" w:rsidRDefault="001B6DD5" w:rsidP="00090B6C">
      <w:pPr>
        <w:spacing w:before="100" w:beforeAutospacing="1" w:after="100" w:afterAutospacing="1" w:line="360" w:lineRule="auto"/>
        <w:ind w:right="49"/>
        <w:jc w:val="both"/>
        <w:rPr>
          <w:rFonts w:ascii="Palatino Linotype" w:hAnsi="Palatino Linotype" w:cs="Arial"/>
        </w:rPr>
      </w:pPr>
    </w:p>
    <w:p w:rsidR="003F730A" w:rsidRDefault="003F730A" w:rsidP="00090B6C">
      <w:pPr>
        <w:spacing w:before="100" w:beforeAutospacing="1" w:after="100" w:afterAutospacing="1" w:line="360" w:lineRule="auto"/>
        <w:ind w:right="49"/>
        <w:jc w:val="both"/>
        <w:rPr>
          <w:rFonts w:ascii="Palatino Linotype" w:hAnsi="Palatino Linotype" w:cs="Arial"/>
        </w:rPr>
      </w:pPr>
    </w:p>
    <w:p w:rsidR="003F730A" w:rsidRDefault="003F730A" w:rsidP="00090B6C">
      <w:pPr>
        <w:spacing w:before="100" w:beforeAutospacing="1" w:after="100" w:afterAutospacing="1" w:line="360" w:lineRule="auto"/>
        <w:ind w:right="49"/>
        <w:jc w:val="both"/>
        <w:rPr>
          <w:rFonts w:ascii="Palatino Linotype" w:hAnsi="Palatino Linotype" w:cs="Arial"/>
        </w:rPr>
      </w:pPr>
    </w:p>
    <w:p w:rsidR="003F730A" w:rsidRDefault="003F730A" w:rsidP="00090B6C">
      <w:pPr>
        <w:spacing w:before="100" w:beforeAutospacing="1" w:after="100" w:afterAutospacing="1" w:line="360" w:lineRule="auto"/>
        <w:ind w:right="49"/>
        <w:jc w:val="both"/>
        <w:rPr>
          <w:rFonts w:ascii="Palatino Linotype" w:hAnsi="Palatino Linotype" w:cs="Arial"/>
        </w:rPr>
      </w:pPr>
    </w:p>
    <w:p w:rsidR="003F730A" w:rsidRDefault="003F730A" w:rsidP="00090B6C">
      <w:pPr>
        <w:spacing w:before="100" w:beforeAutospacing="1" w:after="100" w:afterAutospacing="1" w:line="360" w:lineRule="auto"/>
        <w:ind w:right="49"/>
        <w:jc w:val="both"/>
        <w:rPr>
          <w:rFonts w:ascii="Palatino Linotype" w:hAnsi="Palatino Linotype" w:cs="Arial"/>
        </w:rPr>
      </w:pPr>
    </w:p>
    <w:p w:rsidR="00CE3558" w:rsidRPr="00871B03" w:rsidRDefault="00CE3558" w:rsidP="00090B6C">
      <w:pPr>
        <w:spacing w:before="100" w:beforeAutospacing="1" w:after="100" w:afterAutospacing="1" w:line="360" w:lineRule="auto"/>
        <w:ind w:right="49"/>
        <w:jc w:val="both"/>
        <w:rPr>
          <w:rFonts w:ascii="Palatino Linotype" w:hAnsi="Palatino Linotype" w:cs="Arial"/>
        </w:rPr>
      </w:pPr>
    </w:p>
    <w:p w:rsidR="00670931" w:rsidRPr="00871B03" w:rsidRDefault="00670931" w:rsidP="00820DBE">
      <w:pPr>
        <w:jc w:val="center"/>
        <w:rPr>
          <w:rFonts w:ascii="Palatino Linotype" w:hAnsi="Palatino Linotype"/>
          <w:b/>
        </w:rPr>
      </w:pPr>
      <w:r w:rsidRPr="00871B03">
        <w:rPr>
          <w:rFonts w:ascii="Palatino Linotype" w:hAnsi="Palatino Linotype"/>
          <w:b/>
        </w:rPr>
        <w:t>EVA ABAID YAPUR</w:t>
      </w:r>
    </w:p>
    <w:p w:rsidR="00EF530D" w:rsidRDefault="00670931" w:rsidP="00820DBE">
      <w:pPr>
        <w:jc w:val="center"/>
        <w:rPr>
          <w:rFonts w:ascii="Palatino Linotype" w:hAnsi="Palatino Linotype"/>
          <w:b/>
        </w:rPr>
      </w:pPr>
      <w:r w:rsidRPr="00871B03">
        <w:rPr>
          <w:rFonts w:ascii="Palatino Linotype" w:hAnsi="Palatino Linotype"/>
          <w:b/>
        </w:rPr>
        <w:t>COMISIONADA</w:t>
      </w:r>
    </w:p>
    <w:p w:rsidR="00FF72EE" w:rsidRPr="00670931" w:rsidRDefault="00FF72EE" w:rsidP="00820DBE">
      <w:pPr>
        <w:jc w:val="center"/>
        <w:rPr>
          <w:rFonts w:ascii="Palatino Linotype" w:hAnsi="Palatino Linotype"/>
          <w:b/>
        </w:rPr>
      </w:pPr>
      <w:r w:rsidRPr="00535456">
        <w:rPr>
          <w:rFonts w:ascii="Palatino Linotype" w:hAnsi="Palatino Linotype"/>
          <w:b/>
        </w:rPr>
        <w:t>(RÚBRICA)</w:t>
      </w:r>
    </w:p>
    <w:p w:rsidR="001B6DD5" w:rsidRPr="00871B03" w:rsidRDefault="001B6DD5" w:rsidP="00090B6C">
      <w:pPr>
        <w:spacing w:before="100" w:beforeAutospacing="1" w:after="100" w:afterAutospacing="1"/>
        <w:jc w:val="both"/>
        <w:rPr>
          <w:rFonts w:ascii="Palatino Linotype" w:eastAsia="Calibri" w:hAnsi="Palatino Linotype" w:cs="Arial"/>
          <w:sz w:val="20"/>
        </w:rPr>
      </w:pPr>
    </w:p>
    <w:p w:rsidR="001B6DD5" w:rsidRPr="00871B03" w:rsidRDefault="001B6DD5" w:rsidP="00090B6C">
      <w:pPr>
        <w:spacing w:before="100" w:beforeAutospacing="1" w:after="100" w:afterAutospacing="1"/>
        <w:jc w:val="both"/>
        <w:rPr>
          <w:rFonts w:ascii="Palatino Linotype" w:eastAsia="Calibri" w:hAnsi="Palatino Linotype" w:cs="Arial"/>
          <w:sz w:val="20"/>
        </w:rPr>
      </w:pPr>
    </w:p>
    <w:p w:rsidR="00871B03" w:rsidRDefault="00871B03" w:rsidP="00090B6C">
      <w:pPr>
        <w:spacing w:before="100" w:beforeAutospacing="1" w:after="100" w:afterAutospacing="1"/>
        <w:jc w:val="both"/>
        <w:rPr>
          <w:rFonts w:ascii="Palatino Linotype" w:eastAsia="Calibri" w:hAnsi="Palatino Linotype" w:cs="Arial"/>
          <w:sz w:val="20"/>
        </w:rPr>
      </w:pPr>
    </w:p>
    <w:p w:rsidR="00CE3558" w:rsidRPr="00871B03" w:rsidRDefault="00CE3558" w:rsidP="00090B6C">
      <w:pPr>
        <w:spacing w:before="100" w:beforeAutospacing="1" w:after="100" w:afterAutospacing="1"/>
        <w:jc w:val="both"/>
        <w:rPr>
          <w:rFonts w:ascii="Palatino Linotype" w:eastAsia="Calibri" w:hAnsi="Palatino Linotype" w:cs="Arial"/>
          <w:sz w:val="20"/>
        </w:rPr>
      </w:pPr>
      <w:bookmarkStart w:id="0" w:name="_GoBack"/>
      <w:bookmarkEnd w:id="0"/>
    </w:p>
    <w:p w:rsidR="00A517EA" w:rsidRDefault="00D05D82" w:rsidP="00CE3558">
      <w:pPr>
        <w:jc w:val="both"/>
        <w:rPr>
          <w:rFonts w:ascii="Palatino Linotype" w:eastAsia="Calibri" w:hAnsi="Palatino Linotype" w:cs="Arial"/>
          <w:sz w:val="20"/>
        </w:rPr>
      </w:pPr>
      <w:r w:rsidRPr="00871B03">
        <w:rPr>
          <w:rFonts w:ascii="Palatino Linotype" w:eastAsia="Calibri" w:hAnsi="Palatino Linotype" w:cs="Arial"/>
          <w:sz w:val="20"/>
        </w:rPr>
        <w:t>E</w:t>
      </w:r>
      <w:r w:rsidR="00A517EA" w:rsidRPr="00871B03">
        <w:rPr>
          <w:rFonts w:ascii="Palatino Linotype" w:eastAsia="Calibri" w:hAnsi="Palatino Linotype" w:cs="Arial"/>
          <w:sz w:val="20"/>
        </w:rPr>
        <w:t xml:space="preserve">sta hoja corresponde al voto particular emitido </w:t>
      </w:r>
      <w:r w:rsidR="005B3099" w:rsidRPr="00871B03">
        <w:rPr>
          <w:rFonts w:ascii="Palatino Linotype" w:eastAsia="Calibri" w:hAnsi="Palatino Linotype" w:cs="Arial"/>
          <w:sz w:val="20"/>
        </w:rPr>
        <w:t>en la resolución d</w:t>
      </w:r>
      <w:r w:rsidR="00A517EA" w:rsidRPr="00871B03">
        <w:rPr>
          <w:rFonts w:ascii="Palatino Linotype" w:eastAsia="Calibri" w:hAnsi="Palatino Linotype" w:cs="Arial"/>
          <w:sz w:val="20"/>
        </w:rPr>
        <w:t>e</w:t>
      </w:r>
      <w:r w:rsidR="00BF70B2" w:rsidRPr="00871B03">
        <w:rPr>
          <w:rFonts w:ascii="Palatino Linotype" w:eastAsia="Calibri" w:hAnsi="Palatino Linotype" w:cs="Arial"/>
          <w:sz w:val="20"/>
        </w:rPr>
        <w:t xml:space="preserve">l Recurso de Revisión </w:t>
      </w:r>
      <w:r w:rsidR="00670931" w:rsidRPr="00670931">
        <w:rPr>
          <w:rFonts w:ascii="Palatino Linotype" w:eastAsia="Calibri" w:hAnsi="Palatino Linotype" w:cs="Arial"/>
          <w:sz w:val="20"/>
        </w:rPr>
        <w:t>04084/INFOEM/IP/RR/2018</w:t>
      </w:r>
      <w:r w:rsidR="006C63C4" w:rsidRPr="00871B03">
        <w:rPr>
          <w:rFonts w:ascii="Palatino Linotype" w:eastAsia="Calibri" w:hAnsi="Palatino Linotype" w:cs="Arial"/>
          <w:sz w:val="20"/>
        </w:rPr>
        <w:t xml:space="preserve">, aprobada el </w:t>
      </w:r>
      <w:r w:rsidR="00BF70B2" w:rsidRPr="00871B03">
        <w:rPr>
          <w:rFonts w:ascii="Palatino Linotype" w:eastAsia="Calibri" w:hAnsi="Palatino Linotype" w:cs="Arial"/>
          <w:sz w:val="20"/>
        </w:rPr>
        <w:t xml:space="preserve">dieciséis de enero de dos </w:t>
      </w:r>
      <w:r w:rsidR="005B3099" w:rsidRPr="00871B03">
        <w:rPr>
          <w:rFonts w:ascii="Palatino Linotype" w:eastAsia="Calibri" w:hAnsi="Palatino Linotype" w:cs="Arial"/>
          <w:sz w:val="20"/>
        </w:rPr>
        <w:t>mil</w:t>
      </w:r>
      <w:r w:rsidR="00BF70B2" w:rsidRPr="00871B03">
        <w:rPr>
          <w:rFonts w:ascii="Palatino Linotype" w:eastAsia="Calibri" w:hAnsi="Palatino Linotype" w:cs="Arial"/>
          <w:sz w:val="20"/>
        </w:rPr>
        <w:t xml:space="preserve"> diecinueve</w:t>
      </w:r>
      <w:r w:rsidR="00A517EA" w:rsidRPr="00871B03">
        <w:rPr>
          <w:rFonts w:ascii="Palatino Linotype" w:eastAsia="Calibri" w:hAnsi="Palatino Linotype" w:cs="Arial"/>
          <w:sz w:val="20"/>
        </w:rPr>
        <w:t xml:space="preserve">. </w:t>
      </w:r>
    </w:p>
    <w:p w:rsidR="00CE3558" w:rsidRPr="00871B03" w:rsidRDefault="00CE3558" w:rsidP="00CE3558">
      <w:pPr>
        <w:jc w:val="both"/>
        <w:rPr>
          <w:rFonts w:ascii="Palatino Linotype" w:eastAsia="Calibri" w:hAnsi="Palatino Linotype" w:cs="Arial"/>
          <w:sz w:val="20"/>
        </w:rPr>
      </w:pPr>
    </w:p>
    <w:p w:rsidR="00A517EA" w:rsidRPr="00871B03" w:rsidRDefault="00A517EA" w:rsidP="00CE3558">
      <w:pPr>
        <w:jc w:val="both"/>
        <w:rPr>
          <w:rFonts w:ascii="Palatino Linotype" w:hAnsi="Palatino Linotype"/>
        </w:rPr>
      </w:pPr>
      <w:r w:rsidRPr="00871B03">
        <w:rPr>
          <w:rFonts w:ascii="Palatino Linotype" w:eastAsia="Calibri" w:hAnsi="Palatino Linotype" w:cs="Arial"/>
          <w:sz w:val="20"/>
        </w:rPr>
        <w:t>YSM/</w:t>
      </w:r>
      <w:r w:rsidR="001C04AC" w:rsidRPr="00871B03">
        <w:rPr>
          <w:rFonts w:ascii="Palatino Linotype" w:hAnsi="Palatino Linotype"/>
          <w:snapToGrid w:val="0"/>
          <w:color w:val="000000"/>
          <w:w w:val="0"/>
          <w:sz w:val="0"/>
          <w:szCs w:val="0"/>
          <w:u w:color="000000"/>
          <w:bdr w:val="none" w:sz="0" w:space="0" w:color="000000"/>
          <w:shd w:val="clear" w:color="000000" w:fill="000000"/>
          <w:lang w:val="x-none" w:eastAsia="x-none" w:bidi="x-none"/>
        </w:rPr>
        <w:t xml:space="preserve"> </w:t>
      </w:r>
      <w:r w:rsidR="00820DBE">
        <w:rPr>
          <w:rFonts w:ascii="Palatino Linotype" w:eastAsia="Calibri" w:hAnsi="Palatino Linotype" w:cs="Arial"/>
          <w:noProof/>
          <w:sz w:val="20"/>
          <w:lang w:eastAsia="es-MX"/>
        </w:rPr>
        <w:t>CBO</w:t>
      </w:r>
    </w:p>
    <w:sectPr w:rsidR="00A517EA" w:rsidRPr="00871B03" w:rsidSect="006D731E">
      <w:headerReference w:type="default" r:id="rId7"/>
      <w:footerReference w:type="default" r:id="rId8"/>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55D" w:rsidRDefault="00CB255D" w:rsidP="00DB3A83">
      <w:r>
        <w:separator/>
      </w:r>
    </w:p>
  </w:endnote>
  <w:endnote w:type="continuationSeparator" w:id="0">
    <w:p w:rsidR="00CB255D" w:rsidRDefault="00CB255D" w:rsidP="00DB3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FF72EE" w:rsidP="003056D9">
    <w:pPr>
      <w:pStyle w:val="Piedepgina"/>
      <w:tabs>
        <w:tab w:val="clear" w:pos="4252"/>
        <w:tab w:val="left" w:pos="4228"/>
      </w:tabs>
      <w:rPr>
        <w:rFonts w:ascii="Palatino Linotype" w:hAnsi="Palatino Linotype" w:cs="Arial"/>
        <w:b/>
        <w:bCs/>
        <w:sz w:val="20"/>
        <w:szCs w:val="20"/>
      </w:rPr>
    </w:pPr>
  </w:p>
  <w:p w:rsidR="003056D9" w:rsidRDefault="00FF72EE" w:rsidP="003056D9">
    <w:pPr>
      <w:pStyle w:val="Piedepgina"/>
      <w:tabs>
        <w:tab w:val="clear" w:pos="4252"/>
        <w:tab w:val="left" w:pos="4228"/>
      </w:tabs>
      <w:rPr>
        <w:rFonts w:ascii="Palatino Linotype" w:hAnsi="Palatino Linotype" w:cs="Arial"/>
        <w:b/>
        <w:bCs/>
        <w:sz w:val="20"/>
        <w:szCs w:val="20"/>
      </w:rPr>
    </w:pPr>
  </w:p>
  <w:p w:rsidR="003056D9" w:rsidRDefault="00FF72EE" w:rsidP="003056D9">
    <w:pPr>
      <w:pStyle w:val="Piedepgina"/>
      <w:tabs>
        <w:tab w:val="clear" w:pos="4252"/>
        <w:tab w:val="left" w:pos="4228"/>
      </w:tabs>
      <w:rPr>
        <w:rFonts w:ascii="Palatino Linotype" w:hAnsi="Palatino Linotype" w:cs="Arial"/>
        <w:b/>
        <w:bCs/>
        <w:sz w:val="20"/>
        <w:szCs w:val="20"/>
      </w:rPr>
    </w:pPr>
  </w:p>
  <w:p w:rsidR="00455CB3" w:rsidRDefault="00FF72EE" w:rsidP="000E2B1A">
    <w:pPr>
      <w:pStyle w:val="Piedepgina"/>
      <w:rPr>
        <w:rFonts w:ascii="Palatino Linotype" w:hAnsi="Palatino Linotype" w:cs="Arial"/>
        <w:b/>
        <w:bCs/>
        <w:sz w:val="20"/>
        <w:szCs w:val="20"/>
      </w:rPr>
    </w:pPr>
  </w:p>
  <w:p w:rsidR="003056D9" w:rsidRPr="00F12350" w:rsidRDefault="00B756DB"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F72EE">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F72EE">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6F30F8" w:rsidRDefault="00FF72EE"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55D" w:rsidRDefault="00CB255D" w:rsidP="00DB3A83">
      <w:r>
        <w:separator/>
      </w:r>
    </w:p>
  </w:footnote>
  <w:footnote w:type="continuationSeparator" w:id="0">
    <w:p w:rsidR="00CB255D" w:rsidRDefault="00CB255D" w:rsidP="00DB3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82340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7216" behindDoc="1" locked="0" layoutInCell="1" allowOverlap="1" wp14:anchorId="2CC6FAC8" wp14:editId="688F8639">
          <wp:simplePos x="0" y="0"/>
          <wp:positionH relativeFrom="column">
            <wp:posOffset>-711835</wp:posOffset>
          </wp:positionH>
          <wp:positionV relativeFrom="paragraph">
            <wp:posOffset>-421640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sdt>
      <w:sdtPr>
        <w:id w:val="-1498417712"/>
        <w:docPartObj>
          <w:docPartGallery w:val="Watermarks"/>
          <w:docPartUnique/>
        </w:docPartObj>
      </w:sdtPr>
      <w:sdtEndPr/>
      <w:sdtContent/>
    </w:sdt>
  </w:p>
  <w:p w:rsidR="00125D2F" w:rsidRDefault="00CE3558" w:rsidP="0034309A">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125D2F" w:rsidRDefault="00CE3558"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p>
  <w:p w:rsidR="0034309A" w:rsidRDefault="00CE3558" w:rsidP="0034309A">
    <w:pPr>
      <w:pStyle w:val="Encabezado"/>
      <w:tabs>
        <w:tab w:val="clear" w:pos="4252"/>
        <w:tab w:val="clear" w:pos="8504"/>
        <w:tab w:val="left" w:pos="2326"/>
      </w:tabs>
      <w:jc w:val="right"/>
      <w:rPr>
        <w:rFonts w:ascii="Palatino Linotype" w:hAnsi="Palatino Linotype"/>
      </w:rPr>
    </w:pPr>
    <w:r w:rsidRPr="00BF70B2">
      <w:rPr>
        <w:rFonts w:ascii="Palatino Linotype" w:hAnsi="Palatino Linotype" w:cs="Arial"/>
        <w:sz w:val="20"/>
        <w:szCs w:val="20"/>
      </w:rPr>
      <w:t>04</w:t>
    </w:r>
    <w:r>
      <w:rPr>
        <w:rFonts w:ascii="Palatino Linotype" w:hAnsi="Palatino Linotype" w:cs="Arial"/>
        <w:sz w:val="20"/>
        <w:szCs w:val="20"/>
      </w:rPr>
      <w:t>084</w:t>
    </w:r>
    <w:r w:rsidRPr="00BF70B2">
      <w:rPr>
        <w:rFonts w:ascii="Palatino Linotype" w:hAnsi="Palatino Linotype" w:cs="Arial"/>
        <w:sz w:val="20"/>
        <w:szCs w:val="20"/>
      </w:rPr>
      <w:t>/INFOEM/IP/RR/2018</w:t>
    </w:r>
  </w:p>
  <w:p w:rsidR="008D4407" w:rsidRDefault="008D4407" w:rsidP="008965AF">
    <w:pPr>
      <w:pStyle w:val="Encabezado"/>
      <w:tabs>
        <w:tab w:val="clear" w:pos="4252"/>
        <w:tab w:val="clear" w:pos="8504"/>
        <w:tab w:val="left" w:pos="2326"/>
      </w:tabs>
      <w:jc w:val="right"/>
      <w:rPr>
        <w:rFonts w:ascii="Palatino Linotype" w:hAnsi="Palatino Linotype" w:cs="Arial"/>
        <w:sz w:val="20"/>
        <w:szCs w:val="20"/>
      </w:rPr>
    </w:pPr>
  </w:p>
  <w:p w:rsidR="00CE3558" w:rsidRDefault="00CE3558" w:rsidP="008965AF">
    <w:pPr>
      <w:pStyle w:val="Encabezado"/>
      <w:tabs>
        <w:tab w:val="clear" w:pos="4252"/>
        <w:tab w:val="clear" w:pos="8504"/>
        <w:tab w:val="left" w:pos="2326"/>
      </w:tabs>
      <w:jc w:val="right"/>
      <w:rPr>
        <w:rFonts w:ascii="Palatino Linotype" w:hAnsi="Palatino Linotype" w:cs="Arial"/>
        <w:sz w:val="20"/>
        <w:szCs w:val="20"/>
      </w:rPr>
    </w:pPr>
  </w:p>
  <w:p w:rsidR="00125D2F" w:rsidRDefault="00FF72EE" w:rsidP="0034309A">
    <w:pPr>
      <w:pStyle w:val="Encabezado"/>
      <w:tabs>
        <w:tab w:val="clear" w:pos="4252"/>
        <w:tab w:val="clear" w:pos="8504"/>
        <w:tab w:val="left" w:pos="2326"/>
      </w:tabs>
      <w:jc w:val="right"/>
      <w:rPr>
        <w:rFonts w:ascii="Palatino Linotype" w:hAnsi="Palatino Linotype" w:cs="Arial"/>
        <w:sz w:val="20"/>
        <w:szCs w:val="20"/>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38720" o:spid="_x0000_s2049" type="#_x0000_t136" style="position:absolute;left:0;text-align:left;margin-left:0;margin-top:0;width:616.15pt;height:81.5pt;rotation:315;z-index:-251658240;mso-position-horizontal:center;mso-position-horizontal-relative:margin;mso-position-vertical:center;mso-position-vertical-relative:margin" o:allowincell="f" fillcolor="#bfbfbf [2412]" stroked="f">
          <v:fill opacity=".5"/>
          <v:textpath style="font-family:&quot;Palatino Linotype&quot;;font-size:44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3B58F5"/>
    <w:multiLevelType w:val="hybridMultilevel"/>
    <w:tmpl w:val="F4506792"/>
    <w:lvl w:ilvl="0" w:tplc="DB2266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EA"/>
    <w:rsid w:val="00010D6F"/>
    <w:rsid w:val="00035EF1"/>
    <w:rsid w:val="00043682"/>
    <w:rsid w:val="00090B6C"/>
    <w:rsid w:val="000C5CF3"/>
    <w:rsid w:val="000F0C55"/>
    <w:rsid w:val="000F4E57"/>
    <w:rsid w:val="00117480"/>
    <w:rsid w:val="00191CF3"/>
    <w:rsid w:val="001976FE"/>
    <w:rsid w:val="001B6DD5"/>
    <w:rsid w:val="001C04AC"/>
    <w:rsid w:val="001F45A6"/>
    <w:rsid w:val="00216380"/>
    <w:rsid w:val="00224A94"/>
    <w:rsid w:val="00254372"/>
    <w:rsid w:val="00260EA1"/>
    <w:rsid w:val="002670A2"/>
    <w:rsid w:val="00296C85"/>
    <w:rsid w:val="002F7B17"/>
    <w:rsid w:val="00303EAE"/>
    <w:rsid w:val="00324EBE"/>
    <w:rsid w:val="003B0314"/>
    <w:rsid w:val="003C2F6A"/>
    <w:rsid w:val="003C5476"/>
    <w:rsid w:val="003F730A"/>
    <w:rsid w:val="004275EC"/>
    <w:rsid w:val="00437359"/>
    <w:rsid w:val="00460F1A"/>
    <w:rsid w:val="00487B66"/>
    <w:rsid w:val="004B5C25"/>
    <w:rsid w:val="004B6DDA"/>
    <w:rsid w:val="0053148C"/>
    <w:rsid w:val="00536147"/>
    <w:rsid w:val="00584608"/>
    <w:rsid w:val="005A4D7F"/>
    <w:rsid w:val="005B3099"/>
    <w:rsid w:val="00623D4F"/>
    <w:rsid w:val="00654FE9"/>
    <w:rsid w:val="00670931"/>
    <w:rsid w:val="006801D4"/>
    <w:rsid w:val="006A33F9"/>
    <w:rsid w:val="006B0D54"/>
    <w:rsid w:val="006B30CD"/>
    <w:rsid w:val="006C63C4"/>
    <w:rsid w:val="006C7D0A"/>
    <w:rsid w:val="006D731E"/>
    <w:rsid w:val="00731320"/>
    <w:rsid w:val="00740E0B"/>
    <w:rsid w:val="007C63BC"/>
    <w:rsid w:val="007C7A0C"/>
    <w:rsid w:val="00811B0B"/>
    <w:rsid w:val="00820DBE"/>
    <w:rsid w:val="00823404"/>
    <w:rsid w:val="00862F43"/>
    <w:rsid w:val="00864D3F"/>
    <w:rsid w:val="00871B03"/>
    <w:rsid w:val="00887C59"/>
    <w:rsid w:val="008965AF"/>
    <w:rsid w:val="008A35FA"/>
    <w:rsid w:val="008B0732"/>
    <w:rsid w:val="008D4407"/>
    <w:rsid w:val="00913E69"/>
    <w:rsid w:val="0094319B"/>
    <w:rsid w:val="00960ACD"/>
    <w:rsid w:val="00990B93"/>
    <w:rsid w:val="009C2142"/>
    <w:rsid w:val="009F0C59"/>
    <w:rsid w:val="009F3E24"/>
    <w:rsid w:val="00A06423"/>
    <w:rsid w:val="00A12991"/>
    <w:rsid w:val="00A15DD9"/>
    <w:rsid w:val="00A2795F"/>
    <w:rsid w:val="00A517EA"/>
    <w:rsid w:val="00A95F70"/>
    <w:rsid w:val="00A96975"/>
    <w:rsid w:val="00AA09B9"/>
    <w:rsid w:val="00AC2253"/>
    <w:rsid w:val="00AF01BA"/>
    <w:rsid w:val="00B12945"/>
    <w:rsid w:val="00B30650"/>
    <w:rsid w:val="00B756DB"/>
    <w:rsid w:val="00B860BF"/>
    <w:rsid w:val="00BB74CD"/>
    <w:rsid w:val="00BF70B2"/>
    <w:rsid w:val="00C5282C"/>
    <w:rsid w:val="00C90A7B"/>
    <w:rsid w:val="00CB255D"/>
    <w:rsid w:val="00CE0D21"/>
    <w:rsid w:val="00CE3558"/>
    <w:rsid w:val="00CF70C6"/>
    <w:rsid w:val="00D052DA"/>
    <w:rsid w:val="00D05D82"/>
    <w:rsid w:val="00D064C2"/>
    <w:rsid w:val="00D11661"/>
    <w:rsid w:val="00D166B0"/>
    <w:rsid w:val="00D25E71"/>
    <w:rsid w:val="00D55E6A"/>
    <w:rsid w:val="00D724F4"/>
    <w:rsid w:val="00D872C4"/>
    <w:rsid w:val="00DB24D1"/>
    <w:rsid w:val="00DB3A83"/>
    <w:rsid w:val="00DD5275"/>
    <w:rsid w:val="00DF2B74"/>
    <w:rsid w:val="00E00C3B"/>
    <w:rsid w:val="00E46292"/>
    <w:rsid w:val="00EB1D9E"/>
    <w:rsid w:val="00EE5465"/>
    <w:rsid w:val="00EF530D"/>
    <w:rsid w:val="00F054F8"/>
    <w:rsid w:val="00F10238"/>
    <w:rsid w:val="00F441FF"/>
    <w:rsid w:val="00F51491"/>
    <w:rsid w:val="00F579EE"/>
    <w:rsid w:val="00F64CC1"/>
    <w:rsid w:val="00F91A7F"/>
    <w:rsid w:val="00FA0BF5"/>
    <w:rsid w:val="00FA5F51"/>
    <w:rsid w:val="00FB6FE4"/>
    <w:rsid w:val="00FF72E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AE6438D-8DAE-48E3-A5CD-CCC477D3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7E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517EA"/>
    <w:rPr>
      <w:rFonts w:eastAsiaTheme="minorEastAsia"/>
      <w:sz w:val="24"/>
      <w:szCs w:val="24"/>
      <w:lang w:val="es-ES_tradnl" w:eastAsia="es-ES"/>
    </w:rPr>
  </w:style>
  <w:style w:type="paragraph" w:styleId="Piedepgina">
    <w:name w:val="footer"/>
    <w:basedOn w:val="Normal"/>
    <w:link w:val="PiedepginaCar"/>
    <w:uiPriority w:val="99"/>
    <w:unhideWhenUsed/>
    <w:rsid w:val="00A517E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517EA"/>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DD52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5275"/>
    <w:rPr>
      <w:rFonts w:ascii="Segoe UI" w:eastAsia="Times New Roman" w:hAnsi="Segoe UI" w:cs="Segoe UI"/>
      <w:sz w:val="18"/>
      <w:szCs w:val="18"/>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B860B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24A94"/>
    <w:rPr>
      <w:rFonts w:ascii="Times New Roman" w:eastAsia="Times New Roman" w:hAnsi="Times New Roman" w:cs="Times New Roman"/>
      <w:sz w:val="24"/>
      <w:szCs w:val="24"/>
      <w:lang w:eastAsia="es-ES"/>
    </w:rPr>
  </w:style>
  <w:style w:type="table" w:styleId="Tablaconcuadrcula">
    <w:name w:val="Table Grid"/>
    <w:basedOn w:val="Tablanormal"/>
    <w:uiPriority w:val="59"/>
    <w:rsid w:val="000C5CF3"/>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1771</Words>
  <Characters>9745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2018-11-27T00:11:00Z</cp:lastPrinted>
  <dcterms:created xsi:type="dcterms:W3CDTF">2019-01-21T16:00:00Z</dcterms:created>
  <dcterms:modified xsi:type="dcterms:W3CDTF">2019-02-15T21:46:00Z</dcterms:modified>
</cp:coreProperties>
</file>